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lang w:val="ru-RU" w:eastAsia="ru-RU"/>
        </w:rPr>
      </w:pPr>
      <w:r>
        <w:rPr>
          <w:i/>
          <w:lang w:val="ru-RU" w:eastAsia="ru-RU"/>
        </w:rPr>
        <w:drawing>
          <wp:inline distT="0" distB="127000" distL="0" distR="0">
            <wp:extent cx="798195" cy="761365"/>
            <wp:effectExtent l="0" t="0" r="0" b="0"/>
            <wp:docPr id="1" name="Изображение1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3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МЕСТНАЯ  АДМИНИСТРАЦИЯ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МО РОПШИНСКОЕ СЕЛЬСКОЕ ПОСЕЛЕНИЕ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МО ЛОМОНОСОВСКОГО  МУНИЦИПАЛЬНОГО РАЙОНА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ЛЕНИНГРАДСКОЙ ОБЛАСТИ</w:t>
      </w:r>
    </w:p>
    <w:p>
      <w:pPr>
        <w:pStyle w:val="Style21"/>
        <w:tabs>
          <w:tab w:val="left" w:pos="708" w:leader="none"/>
        </w:tabs>
        <w:ind w:left="0" w:right="-5" w:hanging="0"/>
        <w:rPr>
          <w:rFonts w:cs="Times New Roman"/>
          <w:b w:val="false"/>
          <w:b w:val="false"/>
          <w:sz w:val="22"/>
          <w:szCs w:val="22"/>
        </w:rPr>
      </w:pPr>
      <w:r>
        <w:rPr>
          <w:rFonts w:cs="Times New Roman"/>
          <w:b w:val="false"/>
          <w:sz w:val="22"/>
          <w:szCs w:val="22"/>
        </w:rPr>
      </w:r>
    </w:p>
    <w:p>
      <w:pPr>
        <w:pStyle w:val="Style21"/>
        <w:tabs>
          <w:tab w:val="left" w:pos="708" w:leader="none"/>
        </w:tabs>
        <w:ind w:left="0" w:right="-5" w:hanging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5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" w:firstLine="52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ind w:left="0" w:right="-5" w:hanging="0"/>
        <w:rPr/>
      </w:pPr>
      <w:r>
        <w:rPr>
          <w:b/>
          <w:sz w:val="24"/>
          <w:szCs w:val="24"/>
        </w:rPr>
        <w:t xml:space="preserve">№  </w:t>
      </w:r>
      <w:r>
        <w:rPr>
          <w:b/>
          <w:sz w:val="24"/>
          <w:szCs w:val="24"/>
        </w:rPr>
        <w:t>133</w:t>
      </w:r>
    </w:p>
    <w:p>
      <w:pPr>
        <w:pStyle w:val="2"/>
        <w:tabs>
          <w:tab w:val="left" w:pos="708" w:leader="none"/>
        </w:tabs>
        <w:ind w:left="0" w:right="-5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 06.04.2015 г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нормотворческой</w:t>
      </w:r>
    </w:p>
    <w:p>
      <w:pPr>
        <w:pStyle w:val="Normal"/>
        <w:ind w:left="0" w:right="0" w:hanging="0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деятельности местной администрации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МО Ропшинское сельское поселение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 второй  квартал  2015 г.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ind w:left="0" w:right="0" w:firstLine="708"/>
        <w:rPr/>
      </w:pPr>
      <w:r>
        <w:rPr>
          <w:sz w:val="24"/>
          <w:szCs w:val="24"/>
        </w:rPr>
        <w:t xml:space="preserve">В целях организации нормотворческой деятельности местной администрации МО Ропшинское сельское поселение,  </w:t>
      </w:r>
      <w:r>
        <w:rPr>
          <w:rFonts w:cs="Times New Roman CYR" w:ascii="Times New Roman CYR" w:hAnsi="Times New Roman CYR"/>
          <w:sz w:val="24"/>
          <w:szCs w:val="24"/>
        </w:rPr>
        <w:t>местная администрация муниципального образования Ропшинское сельское поселение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1. Утвердить прилагаемый план нормотворческой деятельности местной администрации МО Ропшинское  сельское  поселение на 2 полугодие 2015 года.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2. Настоящее постановление  вступает в силу со дня его подписания и подлежит размещению на официальном сайте администрации МО Ропшинское  сельское поселение в информационно-телекоммуникационной сети «Интернет».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Normal"/>
        <w:tabs>
          <w:tab w:val="left" w:pos="960" w:leader="none"/>
        </w:tabs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МО Ропшинское сельское поселение                                       Морозов Р.М.</w:t>
      </w:r>
    </w:p>
    <w:p>
      <w:pPr>
        <w:pStyle w:val="Normal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4"/>
        <w:tabs>
          <w:tab w:val="left" w:pos="-1701" w:leader="none"/>
        </w:tabs>
        <w:ind w:left="0" w:right="-5" w:hanging="0"/>
        <w:rPr>
          <w:rFonts w:ascii="Times New Roman CYR" w:hAnsi="Times New Roman CYR" w:cs="Times New Roman CYR"/>
          <w:sz w:val="18"/>
          <w:szCs w:val="18"/>
        </w:rPr>
      </w:pPr>
      <w:r>
        <w:rPr>
          <w:rFonts w:cs="Times New Roman CYR" w:ascii="Times New Roman CYR" w:hAnsi="Times New Roman CYR"/>
          <w:sz w:val="18"/>
          <w:szCs w:val="18"/>
        </w:rPr>
      </w:r>
    </w:p>
    <w:p>
      <w:pPr>
        <w:pStyle w:val="4"/>
        <w:tabs>
          <w:tab w:val="left" w:pos="-1701" w:leader="none"/>
        </w:tabs>
        <w:ind w:left="0" w:right="-5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4"/>
        <w:tabs>
          <w:tab w:val="left" w:pos="-1701" w:leader="none"/>
        </w:tabs>
        <w:ind w:left="0" w:right="-5" w:hanging="0"/>
        <w:rPr>
          <w:sz w:val="18"/>
          <w:szCs w:val="18"/>
        </w:rPr>
      </w:pPr>
      <w:r>
        <w:rPr>
          <w:sz w:val="18"/>
          <w:szCs w:val="18"/>
        </w:rPr>
        <w:t>исп. Михайлова В.А.</w:t>
      </w:r>
    </w:p>
    <w:p>
      <w:pPr>
        <w:pStyle w:val="4"/>
        <w:tabs>
          <w:tab w:val="left" w:pos="-1701" w:leader="none"/>
        </w:tabs>
        <w:ind w:left="0" w:right="-5" w:hanging="0"/>
        <w:rPr>
          <w:sz w:val="18"/>
          <w:szCs w:val="18"/>
        </w:rPr>
      </w:pPr>
      <w:r>
        <w:rPr>
          <w:sz w:val="18"/>
          <w:szCs w:val="18"/>
        </w:rPr>
        <w:t>(81376)72-224</w:t>
      </w:r>
    </w:p>
    <w:p>
      <w:pPr>
        <w:pStyle w:val="Normal"/>
        <w:ind w:left="0" w:right="0" w:hanging="0"/>
        <w:rPr>
          <w:rFonts w:ascii="Times New Roman CYR" w:hAnsi="Times New Roman CYR" w:cs="Times New Roman CYR"/>
          <w:sz w:val="18"/>
          <w:szCs w:val="18"/>
        </w:rPr>
      </w:pPr>
      <w:r>
        <w:rPr>
          <w:rFonts w:cs="Times New Roman CYR" w:ascii="Times New Roman CYR" w:hAnsi="Times New Roman CYR"/>
          <w:sz w:val="18"/>
          <w:szCs w:val="18"/>
        </w:rPr>
      </w:r>
    </w:p>
    <w:p>
      <w:pPr>
        <w:pStyle w:val="Normal"/>
        <w:ind w:left="0" w:right="0" w:hanging="0"/>
        <w:rPr>
          <w:rFonts w:ascii="Times New Roman CYR" w:hAnsi="Times New Roman CYR" w:cs="Times New Roman CYR"/>
          <w:sz w:val="18"/>
          <w:szCs w:val="18"/>
        </w:rPr>
      </w:pPr>
      <w:r>
        <w:rPr>
          <w:rFonts w:cs="Times New Roman CYR" w:ascii="Times New Roman CYR" w:hAnsi="Times New Roman CYR"/>
          <w:sz w:val="18"/>
          <w:szCs w:val="18"/>
        </w:rPr>
      </w:r>
    </w:p>
    <w:p>
      <w:pPr>
        <w:pStyle w:val="Normal"/>
        <w:ind w:left="0" w:right="0" w:hanging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ind w:left="0" w:right="0" w:hanging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ind w:left="0" w:right="0" w:hanging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ind w:left="0" w:right="0" w:hanging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ind w:left="0" w:right="0" w:hanging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ind w:left="0" w:right="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местной администрации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МО Ропшинское сельское поселение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от 06.04.2015г. № 133</w:t>
      </w:r>
    </w:p>
    <w:p>
      <w:pPr>
        <w:pStyle w:val="Normal"/>
        <w:rPr>
          <w:color w:val="993300"/>
          <w:sz w:val="22"/>
          <w:szCs w:val="22"/>
        </w:rPr>
      </w:pPr>
      <w:r>
        <w:rPr>
          <w:color w:val="993300"/>
          <w:sz w:val="22"/>
          <w:szCs w:val="22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нормотворческой деятельности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Местной администрации МО Ропшинское сельское  поселение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 Ломоносовского муниципального района Ленинградской области </w:t>
      </w:r>
    </w:p>
    <w:p>
      <w:pPr>
        <w:pStyle w:val="Normal"/>
        <w:jc w:val="center"/>
        <w:rPr/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на 2  квартал  2015 года</w:t>
      </w:r>
    </w:p>
    <w:p>
      <w:pPr>
        <w:pStyle w:val="Normal"/>
        <w:jc w:val="center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</w:r>
    </w:p>
    <w:tbl>
      <w:tblPr>
        <w:tblW w:w="9794" w:type="dxa"/>
        <w:jc w:val="left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11"/>
        <w:gridCol w:w="5580"/>
        <w:gridCol w:w="1560"/>
        <w:gridCol w:w="1943"/>
      </w:tblGrid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8"/>
              <w:spacing w:before="0" w:after="280"/>
              <w:jc w:val="center"/>
              <w:textAlignment w:val="baseline"/>
              <w:rPr/>
            </w:pPr>
            <w:r>
              <w:rPr>
                <w:rStyle w:val="Style20"/>
                <w:rFonts w:eastAsia="Times New Roman" w:cs="Times New Roman" w:ascii="Times New Roman" w:hAnsi="Times New Roman"/>
                <w:b w:val="false"/>
                <w:lang w:val="ru-RU" w:eastAsia="ru-RU"/>
              </w:rPr>
              <w:t>№</w:t>
            </w:r>
          </w:p>
          <w:p>
            <w:pPr>
              <w:pStyle w:val="Style28"/>
              <w:spacing w:before="280" w:after="0"/>
              <w:jc w:val="center"/>
              <w:textAlignment w:val="baseline"/>
              <w:rPr/>
            </w:pPr>
            <w:r>
              <w:rPr>
                <w:rStyle w:val="Style20"/>
                <w:rFonts w:eastAsia="Times New Roman" w:cs="Times New Roman" w:ascii="Times New Roman" w:hAnsi="Times New Roman"/>
                <w:b w:val="false"/>
                <w:lang w:val="ru-RU" w:eastAsia="ru-RU"/>
              </w:rPr>
              <w:t>п\п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8"/>
              <w:spacing w:before="0" w:after="280"/>
              <w:jc w:val="center"/>
              <w:textAlignment w:val="baseline"/>
              <w:rPr/>
            </w:pPr>
            <w:r>
              <w:rPr>
                <w:rStyle w:val="Style20"/>
                <w:rFonts w:eastAsia="Times New Roman" w:cs="Times New Roman" w:ascii="Times New Roman" w:hAnsi="Times New Roman"/>
                <w:b w:val="false"/>
                <w:lang w:val="ru-RU" w:eastAsia="ru-RU"/>
              </w:rPr>
              <w:t xml:space="preserve">Наименование проекта </w:t>
            </w:r>
          </w:p>
          <w:p>
            <w:pPr>
              <w:pStyle w:val="Style28"/>
              <w:spacing w:before="280" w:after="0"/>
              <w:jc w:val="center"/>
              <w:textAlignment w:val="baseline"/>
              <w:rPr/>
            </w:pPr>
            <w:r>
              <w:rPr>
                <w:rStyle w:val="Style20"/>
                <w:rFonts w:eastAsia="Times New Roman" w:cs="Times New Roman" w:ascii="Times New Roman" w:hAnsi="Times New Roman"/>
                <w:b w:val="false"/>
                <w:lang w:val="ru-RU" w:eastAsia="ru-RU"/>
              </w:rPr>
              <w:t>постановления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8"/>
              <w:spacing w:before="280" w:after="0"/>
              <w:ind w:left="0" w:right="0" w:firstLine="88"/>
              <w:jc w:val="center"/>
              <w:textAlignment w:val="baseline"/>
              <w:rPr/>
            </w:pPr>
            <w:r>
              <w:rPr>
                <w:rStyle w:val="Style20"/>
                <w:rFonts w:eastAsia="Times New Roman" w:cs="Times New Roman" w:ascii="Times New Roman" w:hAnsi="Times New Roman"/>
                <w:b w:val="false"/>
                <w:lang w:val="ru-RU" w:eastAsia="ru-RU"/>
              </w:rPr>
              <w:t>Срок рассмотрения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8"/>
              <w:spacing w:before="280" w:after="0"/>
              <w:jc w:val="both"/>
              <w:textAlignment w:val="baseline"/>
              <w:rPr/>
            </w:pPr>
            <w:r>
              <w:rPr>
                <w:rStyle w:val="Style20"/>
                <w:rFonts w:eastAsia="Times New Roman" w:cs="Times New Roman" w:ascii="Times New Roman" w:hAnsi="Times New Roman"/>
                <w:b w:val="false"/>
                <w:lang w:val="ru-RU" w:eastAsia="ru-RU"/>
              </w:rPr>
              <w:t>Ответственный (ые) за подготовку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Style w:val="Style20"/>
                <w:rFonts w:eastAsia="Times New Roman" w:cs="Times New Roman" w:ascii="Times New Roman" w:hAnsi="Times New Roman"/>
                <w:b w:val="false"/>
                <w:lang w:val="ru-RU" w:eastAsia="ru-RU"/>
              </w:rPr>
              <w:t xml:space="preserve">проекта 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8"/>
              <w:spacing w:before="280" w:after="0"/>
              <w:jc w:val="center"/>
              <w:textAlignment w:val="baseline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9"/>
              <w:ind w:left="0" w:right="708" w:hanging="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 специалист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Горпенюк О.В.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8"/>
              <w:spacing w:before="280" w:after="0"/>
              <w:jc w:val="center"/>
              <w:textAlignment w:val="baseline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bCs/>
                <w:sz w:val="24"/>
                <w:szCs w:val="24"/>
              </w:rPr>
              <w:t xml:space="preserve"> по предоставлению муниципальной услуги по приватизации жилых помещений муниципального жилищного фонда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новой редакции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 специалист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В.А.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8"/>
              <w:spacing w:before="280" w:after="0"/>
              <w:jc w:val="center"/>
              <w:textAlignment w:val="baseline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месячника  по благоустройству территории  населенных пунктов Ропшинского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 специалист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Михайлова В.А.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8"/>
              <w:spacing w:before="280" w:after="0"/>
              <w:jc w:val="center"/>
              <w:textAlignment w:val="baseline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9"/>
              <w:ind w:left="0" w:right="708" w:hanging="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</w:t>
            </w:r>
          </w:p>
          <w:p>
            <w:pPr>
              <w:pStyle w:val="Style29"/>
              <w:ind w:left="0" w:right="708" w:hanging="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«Предоставление в собственность земельных участков членам садоводческих, огороднических и дачных некоммерческих объединений граждан»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 специалист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Горпенюк О.В.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8"/>
              <w:spacing w:before="280" w:after="0"/>
              <w:jc w:val="center"/>
              <w:textAlignment w:val="baseline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особого противопожарного  режима на территории  муниципального  образования Ропшинское 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 специалист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Горпенюк О.В.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8"/>
              <w:spacing w:before="280" w:after="0"/>
              <w:jc w:val="center"/>
              <w:textAlignment w:val="baseline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LONormal"/>
              <w:tabs>
                <w:tab w:val="left" w:pos="-1701" w:leader="none"/>
              </w:tabs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проведения  на территории Ропшинского  сельского поселения конкурса  «Ветеранское подворье – 2015»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 специалист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Михайлова В.А</w:t>
            </w:r>
          </w:p>
        </w:tc>
      </w:tr>
    </w:tbl>
    <w:p>
      <w:pPr>
        <w:pStyle w:val="Normal"/>
        <w:tabs>
          <w:tab w:val="left" w:pos="708" w:leader="none"/>
        </w:tabs>
        <w:ind w:left="0" w:right="-5" w:hanging="0"/>
        <w:jc w:val="center"/>
        <w:rPr>
          <w:b/>
          <w:b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4" w:customStyle="1">
    <w:name w:val="Цветовое выделение"/>
    <w:qFormat/>
    <w:rsid w:val="00bf11a9"/>
    <w:rPr>
      <w:b/>
      <w:bCs/>
      <w:color w:val="000080"/>
    </w:rPr>
  </w:style>
  <w:style w:type="character" w:styleId="Style15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6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20">
    <w:name w:val="Выделение жирным"/>
    <w:rPr>
      <w:b/>
      <w:bCs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7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8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9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Application>LibreOffice/5.0.4.2$Windows_x86 LibreOffice_project/2b9802c1994aa0b7dc6079e128979269cf95bc78</Application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2016-01-12T15:29:14Z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