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-5" w:hanging="0"/>
        <w:jc w:val="center"/>
        <w:rPr>
          <w:rFonts w:ascii="Courier New" w:hAnsi="Courier New" w:eastAsia="Calibri" w:cs="Courier New"/>
          <w:i/>
          <w:i/>
          <w:lang w:val="ru-RU" w:eastAsia="ru-RU"/>
        </w:rPr>
      </w:pPr>
      <w:r>
        <w:rPr>
          <w:rFonts w:eastAsia="Calibri" w:cs="Courier New" w:ascii="Courier New" w:hAnsi="Courier New"/>
          <w:i/>
          <w:lang w:val="ru-RU" w:eastAsia="ru-RU"/>
        </w:rPr>
        <w:drawing>
          <wp:inline distT="0" distB="127000" distL="0" distR="0">
            <wp:extent cx="799465" cy="762000"/>
            <wp:effectExtent l="0" t="0" r="0" b="0"/>
            <wp:docPr id="1" name="Изображение3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3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МЕСТНАЯ  АДМИНИСТРАЦИЯ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МО РОПШИНСКОЕ СЕЛЬСКОЕ ПОСЕЛЕНИЕ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441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МО ЛОМОНОСОВСКОГО  МУНИЦИПАЛЬНОГО РАЙОНА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ЛЕНИНГРАДСКОЙ ОБЛАСТИ</w:t>
      </w:r>
    </w:p>
    <w:p>
      <w:pPr>
        <w:pStyle w:val="Normal"/>
        <w:widowControl/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24"/>
          <w:szCs w:val="24"/>
          <w:lang w:val="ru-RU" w:eastAsia="en-US"/>
        </w:rPr>
      </w:pPr>
      <w:r>
        <w:rPr>
          <w:rFonts w:eastAsia="Calibri"/>
          <w:b/>
          <w:bCs/>
          <w:sz w:val="24"/>
          <w:szCs w:val="24"/>
          <w:lang w:val="ru-RU" w:eastAsia="en-US"/>
        </w:rPr>
      </w:r>
    </w:p>
    <w:p>
      <w:pPr>
        <w:pStyle w:val="Normal"/>
        <w:widowControl/>
        <w:tabs>
          <w:tab w:val="left" w:pos="708" w:leader="none"/>
        </w:tabs>
        <w:snapToGrid w:val="true"/>
        <w:ind w:left="0" w:right="-5" w:hanging="0"/>
        <w:jc w:val="center"/>
        <w:rPr>
          <w:rFonts w:eastAsia="Calibri"/>
          <w:b/>
          <w:b/>
          <w:bCs/>
          <w:sz w:val="32"/>
          <w:szCs w:val="32"/>
          <w:lang w:val="ru-RU" w:eastAsia="en-US"/>
        </w:rPr>
      </w:pPr>
      <w:r>
        <w:rPr>
          <w:rFonts w:eastAsia="Calibri"/>
          <w:b/>
          <w:bCs/>
          <w:sz w:val="32"/>
          <w:szCs w:val="32"/>
          <w:lang w:val="ru-RU" w:eastAsia="en-US"/>
        </w:rPr>
        <w:t>П О С Т А Н О В Л Е Н И Е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-360" w:right="-5" w:hanging="0"/>
        <w:jc w:val="center"/>
        <w:rPr>
          <w:rFonts w:ascii="Courier New" w:hAnsi="Courier New" w:eastAsia="Calibri" w:cs="Courier New"/>
          <w:b/>
          <w:b/>
          <w:bCs/>
          <w:sz w:val="22"/>
          <w:szCs w:val="22"/>
          <w:lang w:val="ru-RU" w:eastAsia="en-US"/>
        </w:rPr>
      </w:pPr>
      <w:r>
        <w:rPr>
          <w:rFonts w:eastAsia="Calibri" w:cs="Courier New" w:ascii="Courier New" w:hAnsi="Courier New"/>
          <w:b/>
          <w:bCs/>
          <w:sz w:val="22"/>
          <w:szCs w:val="22"/>
          <w:lang w:val="ru-RU" w:eastAsia="en-US"/>
        </w:rPr>
      </w:r>
    </w:p>
    <w:p>
      <w:pPr>
        <w:pStyle w:val="Normal"/>
        <w:widowControl/>
        <w:snapToGrid w:val="true"/>
        <w:ind w:left="0" w:right="-5" w:hanging="0"/>
        <w:jc w:val="center"/>
        <w:rPr>
          <w:rFonts w:ascii="Courier New" w:hAnsi="Courier New" w:eastAsia="Calibri" w:cs="Courier New"/>
          <w:b/>
          <w:b/>
          <w:bCs/>
          <w:sz w:val="26"/>
          <w:szCs w:val="26"/>
          <w:lang w:val="ru-RU" w:eastAsia="en-US"/>
        </w:rPr>
      </w:pPr>
      <w:r>
        <w:rPr>
          <w:rFonts w:eastAsia="Calibri" w:cs="Courier New" w:ascii="Courier New" w:hAnsi="Courier New"/>
          <w:b/>
          <w:bCs/>
          <w:sz w:val="26"/>
          <w:szCs w:val="26"/>
          <w:lang w:val="ru-RU" w:eastAsia="en-US"/>
        </w:rPr>
      </w:r>
    </w:p>
    <w:p>
      <w:pPr>
        <w:pStyle w:val="Normal"/>
        <w:widowControl/>
        <w:snapToGrid w:val="true"/>
        <w:ind w:left="0" w:right="-5" w:hanging="0"/>
        <w:jc w:val="left"/>
        <w:rPr/>
      </w:pPr>
      <w:r>
        <w:rPr>
          <w:b/>
          <w:bCs/>
          <w:sz w:val="24"/>
          <w:szCs w:val="24"/>
        </w:rPr>
        <w:t xml:space="preserve">№  </w:t>
      </w:r>
      <w:r>
        <w:rPr>
          <w:b/>
          <w:bCs/>
          <w:sz w:val="24"/>
          <w:szCs w:val="24"/>
        </w:rPr>
        <w:t>320</w:t>
      </w:r>
    </w:p>
    <w:p>
      <w:pPr>
        <w:pStyle w:val="Normal"/>
        <w:widowControl/>
        <w:tabs>
          <w:tab w:val="left" w:pos="708" w:leader="none"/>
        </w:tabs>
        <w:snapToGrid w:val="true"/>
        <w:spacing w:lineRule="auto" w:line="480" w:before="0" w:after="120"/>
        <w:ind w:left="0" w:right="0" w:hanging="0"/>
        <w:jc w:val="left"/>
        <w:rPr/>
      </w:pPr>
      <w:r>
        <w:rPr>
          <w:rFonts w:eastAsia="Calibri"/>
          <w:b/>
          <w:bCs/>
          <w:sz w:val="24"/>
          <w:szCs w:val="24"/>
          <w:lang w:val="ru-RU"/>
        </w:rPr>
        <w:t xml:space="preserve">от </w:t>
      </w:r>
      <w:r>
        <w:rPr>
          <w:rFonts w:eastAsia="Calibri"/>
          <w:b/>
          <w:bCs/>
          <w:sz w:val="24"/>
          <w:szCs w:val="24"/>
        </w:rPr>
        <w:t>06</w:t>
      </w:r>
      <w:r>
        <w:rPr>
          <w:rFonts w:eastAsia="Calibri"/>
          <w:b/>
          <w:bCs/>
          <w:sz w:val="24"/>
          <w:szCs w:val="24"/>
          <w:lang w:val="ru-RU"/>
        </w:rPr>
        <w:t>.0</w:t>
      </w:r>
      <w:r>
        <w:rPr>
          <w:rFonts w:eastAsia="Calibri"/>
          <w:b/>
          <w:bCs/>
          <w:sz w:val="24"/>
          <w:szCs w:val="24"/>
        </w:rPr>
        <w:t>7</w:t>
      </w:r>
      <w:r>
        <w:rPr>
          <w:rFonts w:eastAsia="Calibri"/>
          <w:b/>
          <w:bCs/>
          <w:sz w:val="24"/>
          <w:szCs w:val="24"/>
          <w:lang w:val="ru-RU"/>
        </w:rPr>
        <w:t>.2015 г.</w:t>
      </w:r>
    </w:p>
    <w:p>
      <w:pPr>
        <w:pStyle w:val="Normal"/>
        <w:widowControl/>
        <w:tabs>
          <w:tab w:val="left" w:pos="708" w:leader="none"/>
        </w:tabs>
        <w:snapToGrid w:val="true"/>
        <w:spacing w:before="0" w:after="120"/>
        <w:ind w:left="0" w:right="0" w:hanging="0"/>
        <w:jc w:val="left"/>
        <w:rPr/>
      </w:pPr>
      <w:r>
        <w:rPr>
          <w:b/>
          <w:sz w:val="24"/>
          <w:szCs w:val="24"/>
        </w:rPr>
        <w:t xml:space="preserve">Об утверждении Административного регламента 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>по  предоставлению муниципальной услуги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«Прием в эксплуатацию после перевода жилого 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помещения в нежилое помещение или нежилого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помещения в жилое помещение на территории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Ропшинского сельского поселения Ломоносовского  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муниципального района Ленинградской области»</w:t>
      </w:r>
    </w:p>
    <w:p>
      <w:pPr>
        <w:pStyle w:val="Normal"/>
        <w:ind w:left="0" w:right="0" w:hanging="0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</w:r>
    </w:p>
    <w:p>
      <w:pPr>
        <w:pStyle w:val="Normal"/>
        <w:shd w:fill="FFFFFF" w:val="clear"/>
        <w:rPr/>
      </w:pPr>
      <w:r>
        <w:rPr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27.07.2010г. №210-ФЗ «Об организации предоставления государственных и муниципальных услуг», </w:t>
      </w:r>
      <w:r>
        <w:rPr>
          <w:color w:val="222222"/>
          <w:sz w:val="24"/>
          <w:szCs w:val="24"/>
        </w:rPr>
        <w:t xml:space="preserve">руководствуясь Уставом  Ропшинского сельского поселения,  в целях организации деятельности местной администрации Ропшинского сельского поселения, </w:t>
      </w:r>
      <w:r>
        <w:rPr>
          <w:sz w:val="24"/>
          <w:szCs w:val="24"/>
        </w:rPr>
        <w:t>местная администрация муниципального образования Ропшинское сельское поселение</w:t>
      </w:r>
    </w:p>
    <w:p>
      <w:pPr>
        <w:pStyle w:val="Normal"/>
        <w:autoSpaceDE w:val="false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  <w:t>ПОСТАНОВЛЯЕТ:</w:t>
      </w:r>
    </w:p>
    <w:p>
      <w:pPr>
        <w:pStyle w:val="Normal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uppressAutoHyphens w:val="true"/>
        <w:autoSpaceDE w:val="false"/>
        <w:spacing w:lineRule="auto" w:line="276"/>
        <w:ind w:left="0" w:right="0" w:hanging="0"/>
        <w:jc w:val="both"/>
        <w:rPr/>
      </w:pPr>
      <w:r>
        <w:rPr/>
        <w:t>1. Утвердить Административный регламент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 на территории Ропшинского сельского поселения Ломоносовского  муниципального района Ленинградской области», согласно Приложению.</w:t>
      </w:r>
    </w:p>
    <w:p>
      <w:pPr>
        <w:pStyle w:val="Normal"/>
        <w:ind w:left="0" w:right="-5" w:hanging="0"/>
        <w:rPr/>
      </w:pPr>
      <w:r>
        <w:rPr>
          <w:color w:val="000000"/>
          <w:sz w:val="24"/>
          <w:szCs w:val="24"/>
        </w:rPr>
        <w:t xml:space="preserve">2. Настоящее постановление вступает в силу со дня его официального опубликования на официальном сайте МО Ропшинское  сельское поселение </w:t>
      </w:r>
      <w:hyperlink r:id="rId3">
        <w:r>
          <w:rPr>
            <w:rStyle w:val="Style16"/>
            <w:color w:val="000000"/>
            <w:sz w:val="24"/>
            <w:szCs w:val="24"/>
            <w:lang w:val="en-US"/>
          </w:rPr>
          <w:t>www</w:t>
        </w:r>
        <w:r>
          <w:rPr>
            <w:rStyle w:val="Style16"/>
            <w:color w:val="000000"/>
            <w:sz w:val="24"/>
            <w:szCs w:val="24"/>
          </w:rPr>
          <w:t>.</w:t>
        </w:r>
        <w:r>
          <w:rPr>
            <w:rStyle w:val="Style16"/>
            <w:color w:val="000000"/>
            <w:sz w:val="24"/>
            <w:szCs w:val="24"/>
            <w:lang w:val="en-US"/>
          </w:rPr>
          <w:t>ropshinskoe</w:t>
        </w:r>
        <w:r>
          <w:rPr>
            <w:rStyle w:val="Style16"/>
            <w:color w:val="000000"/>
            <w:sz w:val="24"/>
            <w:szCs w:val="24"/>
          </w:rPr>
          <w:t>.</w:t>
        </w:r>
        <w:r>
          <w:rPr>
            <w:rStyle w:val="Style16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.                                           </w:t>
      </w:r>
      <w:r>
        <w:rPr>
          <w:sz w:val="24"/>
          <w:szCs w:val="24"/>
        </w:rPr>
        <w:t xml:space="preserve">3. Контроль за исполнением настоящего постановления оставляю за собой.  </w:t>
      </w:r>
    </w:p>
    <w:p>
      <w:pPr>
        <w:pStyle w:val="Normal"/>
        <w:ind w:left="0" w:right="-5" w:firstLine="5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5" w:firstLine="5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5" w:hanging="0"/>
        <w:jc w:val="left"/>
        <w:rPr/>
      </w:pPr>
      <w:r>
        <w:rPr>
          <w:sz w:val="24"/>
          <w:szCs w:val="24"/>
        </w:rPr>
        <w:t>Глава местной администрации                                                                                                                   Ропшинского сельского поселения                                                              Морозов Р.М.</w:t>
      </w:r>
      <w:r>
        <w:rPr>
          <w:sz w:val="22"/>
          <w:szCs w:val="22"/>
        </w:rPr>
        <w:t xml:space="preserve">                           </w:t>
      </w:r>
    </w:p>
    <w:p>
      <w:pPr>
        <w:pStyle w:val="Normal"/>
        <w:ind w:left="0" w:right="-5" w:hanging="0"/>
        <w:jc w:val="left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</w:r>
    </w:p>
    <w:p>
      <w:pPr>
        <w:pStyle w:val="Normal"/>
        <w:ind w:left="0" w:right="-5" w:hanging="0"/>
        <w:jc w:val="left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</w:r>
    </w:p>
    <w:p>
      <w:pPr>
        <w:pStyle w:val="Normal"/>
        <w:ind w:left="0" w:right="-5" w:hanging="0"/>
        <w:jc w:val="left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-5" w:hanging="0"/>
        <w:jc w:val="left"/>
        <w:rPr>
          <w:rFonts w:ascii="Times New Roman CYR" w:hAnsi="Times New Roman CYR" w:cs="Times New Roman CYR"/>
          <w:sz w:val="18"/>
          <w:szCs w:val="18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color w:val="1D1B11"/>
          <w:sz w:val="18"/>
          <w:szCs w:val="18"/>
        </w:rPr>
        <w:t>Исп. Михайлова В.А.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6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8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29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0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1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2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3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4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5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6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8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39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opshinsko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LibreOffice/5.0.4.2$Windows_x86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2016-01-12T16:09:44Z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