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lang w:val="ru-RU" w:eastAsia="ru-RU"/>
        </w:rPr>
      </w:pPr>
      <w:r>
        <w:rPr>
          <w:i/>
          <w:lang w:val="ru-RU" w:eastAsia="ru-RU"/>
        </w:rPr>
        <w:drawing>
          <wp:inline distT="0" distB="127000" distL="0" distR="0">
            <wp:extent cx="770890" cy="762000"/>
            <wp:effectExtent l="0" t="0" r="0" b="0"/>
            <wp:docPr id="1" name="Изображение3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5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0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0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142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napToGrid w:val="true"/>
        <w:ind w:left="0" w:right="-5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napToGrid w:val="true"/>
        <w:ind w:left="0" w:right="-5" w:hanging="0"/>
        <w:jc w:val="left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340</w:t>
      </w:r>
    </w:p>
    <w:p>
      <w:pPr>
        <w:pStyle w:val="21"/>
        <w:tabs>
          <w:tab w:val="left" w:pos="708" w:leader="none"/>
        </w:tabs>
        <w:ind w:left="0" w:right="-5" w:hanging="0"/>
        <w:rPr/>
      </w:pPr>
      <w:r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  <w:lang w:val="ru-RU"/>
        </w:rPr>
        <w:t>20</w:t>
      </w:r>
      <w:r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</w:rPr>
        <w:t>.2015 г.</w:t>
      </w:r>
    </w:p>
    <w:p>
      <w:pPr>
        <w:pStyle w:val="HTML"/>
        <w:shd w:fill="FFFFFF" w:val="clear"/>
        <w:ind w:left="-142" w:right="283" w:hanging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 разрешении на вырубку зеленых насаждений</w:t>
      </w:r>
    </w:p>
    <w:p>
      <w:pPr>
        <w:pStyle w:val="HTML"/>
        <w:shd w:fill="FFFFFF" w:val="clear"/>
        <w:ind w:left="-142" w:right="283" w:hanging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при строительстве теплотрассы в пос. Ропша</w:t>
      </w:r>
    </w:p>
    <w:p>
      <w:pPr>
        <w:pStyle w:val="HTML"/>
        <w:shd w:fill="FFFFFF" w:val="clear"/>
        <w:ind w:left="-142" w:right="283" w:hanging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-142" w:right="283" w:firstLine="52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-142" w:right="283" w:firstLine="520"/>
        <w:rPr/>
      </w:pPr>
      <w:r>
        <w:rPr>
          <w:sz w:val="24"/>
          <w:szCs w:val="24"/>
        </w:rPr>
        <w:t xml:space="preserve">На основании разрешения на строительство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47511000-1-2014, выданного Администрацией муниципального образования Ломоносовский муниципальный район Ленинградской области, в целях обеспечения производственных работ по прокладке теплотрассы в пос. Ропша   от здания новой котельной к зданию школы и зданию дошкольной образовательной организации на 8 групп (155 мест)</w:t>
      </w:r>
      <w:r>
        <w:rPr>
          <w:color w:val="222222"/>
          <w:sz w:val="24"/>
          <w:szCs w:val="24"/>
        </w:rPr>
        <w:t xml:space="preserve">, на основании регламента </w:t>
      </w:r>
      <w:r>
        <w:rPr>
          <w:sz w:val="24"/>
          <w:szCs w:val="24"/>
        </w:rPr>
        <w:t>«Выдача разрешений на снос или пересадку зеленых насаждений», утвержденного</w:t>
      </w:r>
      <w:r>
        <w:rPr>
          <w:color w:val="222222"/>
          <w:sz w:val="24"/>
          <w:szCs w:val="24"/>
        </w:rPr>
        <w:t xml:space="preserve"> постановлением местной администрацией МО Ропшинское сельское поселение </w:t>
      </w:r>
      <w:r>
        <w:rPr>
          <w:bCs/>
          <w:sz w:val="24"/>
          <w:szCs w:val="24"/>
        </w:rPr>
        <w:t xml:space="preserve">№ 119 </w:t>
      </w:r>
      <w:r>
        <w:rPr>
          <w:sz w:val="24"/>
          <w:szCs w:val="24"/>
        </w:rPr>
        <w:t>от  30.03.2015 г.,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autoSpaceDE w:val="false"/>
        <w:ind w:left="-142" w:right="283" w:firstLine="52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</w:r>
    </w:p>
    <w:p>
      <w:pPr>
        <w:pStyle w:val="Normal"/>
        <w:autoSpaceDE w:val="false"/>
        <w:ind w:left="-142" w:right="283" w:firstLine="52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</w:r>
    </w:p>
    <w:p>
      <w:pPr>
        <w:pStyle w:val="Normal"/>
        <w:autoSpaceDE w:val="false"/>
        <w:ind w:left="-142" w:right="283" w:firstLine="52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ПОСТАНОВЛЯЕТ:</w:t>
      </w:r>
    </w:p>
    <w:p>
      <w:pPr>
        <w:pStyle w:val="HTML"/>
        <w:shd w:fill="FFFFFF" w:val="clear"/>
        <w:ind w:left="-142" w:right="283" w:hanging="0"/>
        <w:jc w:val="both"/>
        <w:rPr>
          <w:rFonts w:ascii="Times New Roman CYR" w:hAnsi="Times New Roman CYR" w:eastAsia="Times New Roman" w:cs="Times New Roman CYR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 CYR" w:ascii="Times New Roman CYR" w:hAnsi="Times New Roman CYR"/>
          <w:b/>
          <w:bCs/>
          <w:sz w:val="24"/>
          <w:szCs w:val="24"/>
          <w:lang w:val="ru-RU" w:eastAsia="ru-RU"/>
        </w:rPr>
      </w:r>
    </w:p>
    <w:p>
      <w:pPr>
        <w:pStyle w:val="HTML"/>
        <w:shd w:fill="FFFFFF" w:val="clear"/>
        <w:ind w:left="-142" w:right="283" w:hanging="0"/>
        <w:jc w:val="both"/>
        <w:rPr/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val="ru-RU" w:eastAsia="ru-RU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Выдать    ООО «Северная Компания»   разрешение на  вырубку деревьев и кустарников  на участке  в пос. Ропша Ломоносовского района Ленинградской области  под строительство </w:t>
      </w:r>
      <w:r>
        <w:rPr>
          <w:rFonts w:cs="Times New Roman" w:ascii="Times New Roman" w:hAnsi="Times New Roman"/>
          <w:sz w:val="24"/>
          <w:szCs w:val="24"/>
        </w:rPr>
        <w:t xml:space="preserve">теплотрассы к зданиям школы и </w:t>
      </w:r>
      <w:r>
        <w:rPr>
          <w:rFonts w:cs="Times New Roman" w:ascii="Times New Roman" w:hAnsi="Times New Roman"/>
          <w:color w:val="000000"/>
          <w:sz w:val="24"/>
          <w:szCs w:val="24"/>
        </w:rPr>
        <w:t>зданию дошкольной образовательной организации на 8 групп (155 мест)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HTML"/>
        <w:shd w:fill="FFFFFF" w:val="clear"/>
        <w:ind w:left="-142" w:right="283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</w:rPr>
        <w:t>Разрешить ООО «Северная Компания» произвести вырубку деревьев и кустарников  на основании  выданного разрешения.</w:t>
      </w:r>
    </w:p>
    <w:p>
      <w:pPr>
        <w:pStyle w:val="HTML"/>
        <w:shd w:fill="FFFFFF" w:val="clear"/>
        <w:ind w:left="-142" w:right="283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3. </w:t>
      </w:r>
      <w:r>
        <w:rPr>
          <w:rFonts w:cs="Times New Roman" w:ascii="Times New Roman" w:hAnsi="Times New Roman"/>
          <w:color w:val="000000"/>
          <w:sz w:val="24"/>
          <w:szCs w:val="24"/>
        </w:rPr>
        <w:t>После окончания работ по сносу зеленых насаждений древесные отходы утилизировать (не сжигать) или вывезти в специально отведенные для этого места.</w:t>
      </w:r>
    </w:p>
    <w:p>
      <w:pPr>
        <w:pStyle w:val="Normal"/>
        <w:ind w:left="-142" w:right="283" w:firstLine="28"/>
        <w:rPr/>
      </w:pPr>
      <w:r>
        <w:rPr>
          <w:color w:val="000000"/>
          <w:sz w:val="24"/>
          <w:szCs w:val="24"/>
        </w:rPr>
        <w:t xml:space="preserve">4. Настоящее постановление вступает в силу со дня его официального опубликования на официальном сайте МО Ропшинское  сельское поселение </w:t>
      </w:r>
      <w:r>
        <w:rPr>
          <w:sz w:val="24"/>
          <w:szCs w:val="24"/>
        </w:rPr>
        <w:t>официальнаяропша.рф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left="-142" w:right="283" w:firstLine="28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>
      <w:pPr>
        <w:pStyle w:val="Normal"/>
        <w:ind w:left="-142" w:right="283" w:firstLine="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right="283" w:hanging="0"/>
        <w:jc w:val="left"/>
        <w:rPr/>
      </w:pPr>
      <w:r>
        <w:rPr>
          <w:sz w:val="24"/>
          <w:szCs w:val="24"/>
        </w:rPr>
        <w:t>И.о. главы местной администрации                                                                                                                   Ропшинского сельского поселения                                                              Ильенко Ю.Ю.</w:t>
      </w:r>
      <w:r>
        <w:rPr/>
        <w:t xml:space="preserve"> </w:t>
      </w:r>
    </w:p>
    <w:p>
      <w:pPr>
        <w:pStyle w:val="Normal"/>
        <w:ind w:left="-142" w:right="283" w:hanging="0"/>
        <w:jc w:val="left"/>
        <w:rPr/>
      </w:pPr>
      <w:r>
        <w:rPr/>
      </w:r>
    </w:p>
    <w:p>
      <w:pPr>
        <w:pStyle w:val="Normal"/>
        <w:autoSpaceDE w:val="false"/>
        <w:ind w:left="-142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Исп. Иванова Я. В.</w:t>
      </w:r>
    </w:p>
    <w:p>
      <w:pPr>
        <w:pStyle w:val="Normal"/>
        <w:keepNext/>
        <w:widowControl/>
        <w:numPr>
          <w:ilvl w:val="0"/>
          <w:numId w:val="0"/>
        </w:numPr>
        <w:tabs>
          <w:tab w:val="left" w:pos="708" w:leader="none"/>
        </w:tabs>
        <w:autoSpaceDE w:val="false"/>
        <w:snapToGrid w:val="true"/>
        <w:ind w:left="-142" w:right="0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color w:val="1D1B11"/>
          <w:sz w:val="16"/>
          <w:szCs w:val="16"/>
        </w:rPr>
        <w:t>Тел. (81376)72-224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6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8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29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0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1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2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3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4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5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6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8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39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LibreOffice/5.0.4.2$Windows_x86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2016-01-12T16:12:53Z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