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3885" w:leader="none"/>
        </w:tabs>
        <w:snapToGrid w:val="true"/>
        <w:ind w:left="0" w:right="-5" w:hanging="0"/>
        <w:jc w:val="center"/>
        <w:rPr>
          <w:i/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val="ru-RU" w:eastAsia="ru-RU"/>
        </w:rPr>
        <w:drawing>
          <wp:inline distT="0" distB="127000" distL="0" distR="0">
            <wp:extent cx="799465" cy="762000"/>
            <wp:effectExtent l="0" t="0" r="0" b="0"/>
            <wp:docPr id="1" name="Изображение4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napToGrid w:val="true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МЕСТНАЯ  АДМИНИСТРАЦИЯ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540" w:right="-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МО  РОПШИНСКОЕ СЕЛЬСКОЕ ПОСЕЛЕНИЕ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540" w:right="-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МО  ЛОМОНОСОВСКОГО  МУНИЦИПАЛЬНОГО РАЙОНА  </w:t>
      </w:r>
    </w:p>
    <w:p>
      <w:pPr>
        <w:pStyle w:val="Normal"/>
        <w:widowControl/>
        <w:snapToGrid w:val="true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>
      <w:pPr>
        <w:pStyle w:val="Normal"/>
        <w:widowControl/>
        <w:tabs>
          <w:tab w:val="left" w:pos="2625" w:leader="none"/>
        </w:tabs>
        <w:snapToGrid w:val="true"/>
        <w:ind w:left="0" w:right="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/>
        <w:tabs>
          <w:tab w:val="left" w:pos="708" w:leader="none"/>
        </w:tabs>
        <w:snapToGrid w:val="true"/>
        <w:ind w:left="0" w:right="-5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widowControl/>
        <w:snapToGrid w:val="true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napToGrid w:val="true"/>
        <w:ind w:left="0" w:right="0" w:hanging="0"/>
        <w:jc w:val="left"/>
        <w:rPr/>
      </w:pPr>
      <w:r>
        <w:rPr>
          <w:b/>
          <w:sz w:val="23"/>
          <w:szCs w:val="23"/>
        </w:rPr>
        <w:t xml:space="preserve">№ </w:t>
      </w:r>
      <w:r>
        <w:rPr>
          <w:b/>
          <w:sz w:val="23"/>
          <w:szCs w:val="23"/>
        </w:rPr>
        <w:t>401</w:t>
      </w:r>
    </w:p>
    <w:p>
      <w:pPr>
        <w:pStyle w:val="Normal"/>
        <w:widowControl/>
        <w:snapToGrid w:val="true"/>
        <w:ind w:left="0" w:right="0" w:hanging="0"/>
        <w:jc w:val="left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17.08.2015 г.</w:t>
      </w:r>
    </w:p>
    <w:p>
      <w:pPr>
        <w:pStyle w:val="Normal"/>
        <w:autoSpaceDE w:val="false"/>
        <w:snapToGrid w:val="true"/>
        <w:ind w:left="0" w:right="0" w:hanging="0"/>
        <w:rPr>
          <w:rFonts w:ascii="Times New Roman CYR" w:hAnsi="Times New Roman CYR" w:cs="Times New Roman CYR"/>
          <w:b/>
          <w:b/>
          <w:sz w:val="18"/>
          <w:szCs w:val="18"/>
        </w:rPr>
      </w:pPr>
      <w:r>
        <w:rPr>
          <w:rFonts w:cs="Times New Roman CYR" w:ascii="Times New Roman CYR" w:hAnsi="Times New Roman CYR"/>
          <w:b/>
          <w:sz w:val="18"/>
          <w:szCs w:val="18"/>
        </w:rPr>
      </w:r>
    </w:p>
    <w:tbl>
      <w:tblPr>
        <w:tblW w:w="5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</w:tblGrid>
      <w:tr>
        <w:trPr>
          <w:trHeight w:val="1490" w:hRule="atLeast"/>
        </w:trPr>
        <w:tc>
          <w:tcPr>
            <w:tcW w:w="5778" w:type="dxa"/>
            <w:tcBorders/>
            <w:shd w:fill="auto" w:val="clear"/>
          </w:tcPr>
          <w:p>
            <w:pPr>
              <w:pStyle w:val="23"/>
              <w:shd w:fill="FFFFFF" w:val="clear"/>
              <w:spacing w:lineRule="auto" w:line="240" w:before="0" w:after="0"/>
              <w:ind w:left="0" w:right="3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 xml:space="preserve">Об утверждении  Положение о межведомственной комиссии, действующей на территории муниципального образования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>Ропшинское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 xml:space="preserve"> сельское поселение муниципального образования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 xml:space="preserve">Ломоносовского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>муниципальн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>ого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 xml:space="preserve"> район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ru-RU"/>
              </w:rPr>
              <w:t xml:space="preserve"> Ленинградской области</w:t>
            </w:r>
          </w:p>
        </w:tc>
      </w:tr>
    </w:tbl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-1701" w:leader="none"/>
        </w:tabs>
        <w:ind w:left="0" w:right="0" w:hanging="0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В целях приведения нормативно-правового акта в соответствие с действующим законодательством Российской Федерации, руководствуясь нормами Жилищного кодекса РФ от 29.12.2004 г. № 188-ФЗ, Федеральным законом № 131-ФЗ от 06.10.2003 г. «Об общих принципах организации местного самоуправления в Российской Федерации»,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постановления Правительства Российской Федерации от 02.08.2007 г. № 494, постановления Правительства Российской Федерации от 08.04.2013 г. № 311), Устава муниципального образования Ропшинское сельское поселение, местная администрация муниципального образования </w:t>
      </w:r>
      <w:r>
        <w:rPr>
          <w:bCs/>
          <w:sz w:val="22"/>
          <w:szCs w:val="22"/>
        </w:rPr>
        <w:t>Ропшинское сельское поселение</w:t>
      </w:r>
    </w:p>
    <w:p>
      <w:pPr>
        <w:pStyle w:val="Normal"/>
        <w:ind w:left="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ПОСТАНОВЛЯЕТ:</w:t>
      </w:r>
    </w:p>
    <w:p>
      <w:pPr>
        <w:pStyle w:val="Style22"/>
        <w:widowControl w:val="false"/>
        <w:jc w:val="both"/>
        <w:rPr/>
      </w:pPr>
      <w:r>
        <w:rPr>
          <w:sz w:val="22"/>
          <w:szCs w:val="22"/>
        </w:rPr>
        <w:t xml:space="preserve">1. Утвердить Положение о межведомственной комиссии, действующей на территории муниципального образования </w:t>
      </w:r>
      <w:r>
        <w:rPr>
          <w:sz w:val="22"/>
          <w:szCs w:val="22"/>
          <w:lang w:val="ru-RU"/>
        </w:rPr>
        <w:t>Ропшинское</w:t>
      </w:r>
      <w:r>
        <w:rPr>
          <w:sz w:val="22"/>
          <w:szCs w:val="22"/>
        </w:rPr>
        <w:t xml:space="preserve"> сельское поселение муниципального образования </w:t>
      </w:r>
      <w:r>
        <w:rPr>
          <w:sz w:val="22"/>
          <w:szCs w:val="22"/>
          <w:lang w:val="ru-RU"/>
        </w:rPr>
        <w:t xml:space="preserve">Ломоносовского </w:t>
      </w:r>
      <w:r>
        <w:rPr>
          <w:sz w:val="22"/>
          <w:szCs w:val="22"/>
        </w:rPr>
        <w:t>муниципальный район Ленинградской области (Приложение 1).</w:t>
      </w:r>
    </w:p>
    <w:p>
      <w:pPr>
        <w:pStyle w:val="Style22"/>
        <w:widowControl w:val="false"/>
        <w:jc w:val="both"/>
        <w:rPr/>
      </w:pPr>
      <w:r>
        <w:rPr>
          <w:sz w:val="22"/>
          <w:szCs w:val="22"/>
        </w:rPr>
        <w:t xml:space="preserve">2. Утвердить состав межведомственной комиссии, действующей на территории муниципального образования </w:t>
      </w:r>
      <w:r>
        <w:rPr>
          <w:sz w:val="22"/>
          <w:szCs w:val="22"/>
          <w:lang w:val="ru-RU"/>
        </w:rPr>
        <w:t xml:space="preserve">Ропшинское </w:t>
      </w:r>
      <w:r>
        <w:rPr>
          <w:sz w:val="22"/>
          <w:szCs w:val="22"/>
        </w:rPr>
        <w:t xml:space="preserve">сельское поселение муниципального образования </w:t>
      </w:r>
      <w:r>
        <w:rPr>
          <w:sz w:val="22"/>
          <w:szCs w:val="22"/>
          <w:lang w:val="ru-RU"/>
        </w:rPr>
        <w:t>Ломоносовского</w:t>
      </w:r>
      <w:r>
        <w:rPr>
          <w:sz w:val="22"/>
          <w:szCs w:val="22"/>
        </w:rPr>
        <w:t xml:space="preserve"> муниципальн</w:t>
      </w:r>
      <w:r>
        <w:rPr>
          <w:sz w:val="22"/>
          <w:szCs w:val="22"/>
          <w:lang w:val="ru-RU"/>
        </w:rPr>
        <w:t xml:space="preserve">ого </w:t>
      </w:r>
      <w:r>
        <w:rPr>
          <w:sz w:val="22"/>
          <w:szCs w:val="22"/>
        </w:rPr>
        <w:t>район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Ленинградской области (Приложение 2).</w:t>
      </w:r>
    </w:p>
    <w:p>
      <w:pPr>
        <w:pStyle w:val="Normal"/>
        <w:snapToGrid w:val="true"/>
        <w:ind w:left="0" w:right="0" w:hanging="0"/>
        <w:rPr/>
      </w:pPr>
      <w:r>
        <w:rPr>
          <w:sz w:val="22"/>
          <w:szCs w:val="22"/>
        </w:rPr>
        <w:t xml:space="preserve">3. Постановление местной  администрации муниципального образования Ропшинское сельское поселение от 16.01.2015 г.  № 09 « </w:t>
      </w:r>
      <w:r>
        <w:rPr>
          <w:bCs/>
          <w:sz w:val="22"/>
          <w:szCs w:val="22"/>
        </w:rPr>
        <w:t xml:space="preserve">Об утверждении состава   межведомственной  </w:t>
      </w:r>
      <w:r>
        <w:rPr>
          <w:sz w:val="22"/>
          <w:szCs w:val="22"/>
        </w:rPr>
        <w:t>комиссии МО Ропшинское сельское поселение» считать утратившим силу..</w:t>
      </w:r>
    </w:p>
    <w:p>
      <w:pPr>
        <w:pStyle w:val="Style22"/>
        <w:widowControl w:val="false"/>
        <w:jc w:val="both"/>
        <w:rPr/>
      </w:pPr>
      <w:r>
        <w:rPr>
          <w:sz w:val="22"/>
          <w:szCs w:val="22"/>
        </w:rPr>
        <w:t xml:space="preserve">4. Разместить настоящее постановление на официальном сайте муниципального образования </w:t>
      </w:r>
      <w:r>
        <w:rPr>
          <w:sz w:val="22"/>
          <w:szCs w:val="22"/>
          <w:lang w:val="ru-RU"/>
        </w:rPr>
        <w:t>Ропшинское</w:t>
      </w:r>
      <w:r>
        <w:rPr>
          <w:sz w:val="22"/>
          <w:szCs w:val="22"/>
        </w:rPr>
        <w:t xml:space="preserve"> сельское поселение в сети Интернет.       .</w:t>
      </w:r>
    </w:p>
    <w:p>
      <w:pPr>
        <w:pStyle w:val="Style22"/>
        <w:widowControl w:val="false"/>
        <w:jc w:val="both"/>
        <w:rPr/>
      </w:pPr>
      <w:r>
        <w:rPr>
          <w:sz w:val="22"/>
          <w:szCs w:val="22"/>
          <w:lang w:val="ru-RU"/>
        </w:rPr>
        <w:t>5</w:t>
      </w:r>
      <w:r>
        <w:rPr>
          <w:sz w:val="22"/>
          <w:szCs w:val="22"/>
        </w:rPr>
        <w:t>. Настоящее постановление вступает в силу со дня его официального опубликования.</w:t>
      </w:r>
    </w:p>
    <w:p>
      <w:pPr>
        <w:pStyle w:val="Style22"/>
        <w:widowControl w:val="false"/>
        <w:jc w:val="both"/>
        <w:rPr/>
      </w:pP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. Контроль за исполнением данного постановления оставляю за собой.</w:t>
      </w:r>
    </w:p>
    <w:p>
      <w:pPr>
        <w:pStyle w:val="Normal"/>
        <w:widowControl/>
        <w:tabs>
          <w:tab w:val="left" w:pos="960" w:leader="none"/>
        </w:tabs>
        <w:snapToGrid w:val="true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 xml:space="preserve">Глава местной администрации </w:t>
      </w:r>
    </w:p>
    <w:p>
      <w:pPr>
        <w:pStyle w:val="Normal"/>
        <w:autoSpaceDE w:val="false"/>
        <w:snapToGrid w:val="true"/>
        <w:ind w:left="0" w:right="0" w:hanging="0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  <w:t xml:space="preserve">МО Ропшинское сельское поселение                                                     </w:t>
        <w:tab/>
        <w:t>Морозов Р.М</w:t>
      </w:r>
    </w:p>
    <w:p>
      <w:pPr>
        <w:pStyle w:val="Normal"/>
        <w:ind w:left="567" w:right="0" w:hanging="0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Normal"/>
        <w:ind w:left="567" w:right="0" w:hanging="0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Normal"/>
        <w:ind w:left="0" w:right="0" w:hanging="0"/>
        <w:rPr/>
      </w:pPr>
      <w:r>
        <w:rPr/>
        <w:t>исп. Михайлова В.А.</w:t>
      </w:r>
    </w:p>
    <w:p>
      <w:pPr>
        <w:pStyle w:val="Normal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Normal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>утверждено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 местной администрации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Ропшинское сельское поселение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от  17.08.2015 года № 401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>
      <w:pPr>
        <w:pStyle w:val="Normal"/>
        <w:numPr>
          <w:ilvl w:val="0"/>
          <w:numId w:val="0"/>
        </w:numPr>
        <w:shd w:fill="FFFFFF" w:val="clear"/>
        <w:ind w:left="0" w:right="0" w:hanging="0"/>
        <w:textAlignment w:val="baseline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hd w:fill="FFFFFF" w:val="clear"/>
        <w:ind w:left="0" w:right="0" w:firstLine="520"/>
        <w:jc w:val="center"/>
        <w:textAlignment w:val="baseline"/>
        <w:rPr/>
      </w:pPr>
      <w:r>
        <w:rPr>
          <w:b/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hd w:fill="FFFFFF" w:val="clear"/>
        <w:ind w:left="0" w:right="0" w:firstLine="520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межведомственной комиссии по оценке жилых помещений, действующей на территории муниципального образования Ропшинское сельское поселение </w:t>
      </w:r>
    </w:p>
    <w:p>
      <w:pPr>
        <w:pStyle w:val="Normal"/>
        <w:numPr>
          <w:ilvl w:val="0"/>
          <w:numId w:val="0"/>
        </w:numPr>
        <w:shd w:fill="FFFFFF" w:val="clear"/>
        <w:spacing w:before="300" w:after="180"/>
        <w:ind w:left="0" w:right="0" w:firstLine="520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>
      <w:pPr>
        <w:pStyle w:val="Normal"/>
        <w:numPr>
          <w:ilvl w:val="0"/>
          <w:numId w:val="0"/>
        </w:numPr>
        <w:shd w:fill="FFFFFF" w:val="clear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1.1. Межведомственная Комиссия  по оценке жилых помещений, действующая на территории муниципального образования Ропшинское сельское поселение муниципального образования Ломоносовского  муниципального района Ленинградской области (далее - Комиссия) создается администрацией МО Ропшинское сельское поселение.</w:t>
      </w:r>
    </w:p>
    <w:p>
      <w:pPr>
        <w:pStyle w:val="Normal"/>
        <w:numPr>
          <w:ilvl w:val="0"/>
          <w:numId w:val="0"/>
        </w:numPr>
        <w:shd w:fill="FFFFFF" w:val="clear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1.2. Настоящее положение определяет порядок деятельности межведомственной комиссии по оценке жилых помещений жилищного фонда находящегося на территории МО Ропшинское сельское поселение МО Ломоносовского муниципального района Ленинградской области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1.3. Комиссия в своей работе руководствуется:</w:t>
      </w:r>
    </w:p>
    <w:p>
      <w:pPr>
        <w:pStyle w:val="Normal"/>
        <w:ind w:left="0" w:right="0" w:firstLine="540"/>
        <w:rPr/>
      </w:pPr>
      <w:hyperlink r:id="rId3">
        <w:r>
          <w:rPr>
            <w:rStyle w:val="Style16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Федерации;</w:t>
      </w:r>
    </w:p>
    <w:p>
      <w:pPr>
        <w:pStyle w:val="Normal"/>
        <w:ind w:left="0" w:right="0" w:firstLine="540"/>
        <w:rPr/>
      </w:pPr>
      <w:r>
        <w:rPr>
          <w:sz w:val="24"/>
          <w:szCs w:val="24"/>
        </w:rPr>
        <w:t xml:space="preserve">Гражданским </w:t>
      </w:r>
      <w:hyperlink r:id="rId4">
        <w:r>
          <w:rPr>
            <w:rStyle w:val="Style16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Федерации;</w:t>
      </w:r>
    </w:p>
    <w:p>
      <w:pPr>
        <w:pStyle w:val="Normal"/>
        <w:ind w:left="0" w:right="0" w:firstLine="540"/>
        <w:rPr/>
      </w:pPr>
      <w:r>
        <w:rPr>
          <w:sz w:val="24"/>
          <w:szCs w:val="24"/>
        </w:rPr>
        <w:t xml:space="preserve">Жилищным </w:t>
      </w:r>
      <w:hyperlink r:id="rId5">
        <w:r>
          <w:rPr>
            <w:rStyle w:val="Style16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Федерации;</w:t>
      </w:r>
    </w:p>
    <w:p>
      <w:pPr>
        <w:pStyle w:val="Normal"/>
        <w:ind w:left="0" w:right="0" w:firstLine="540"/>
        <w:rPr/>
      </w:pPr>
      <w:hyperlink r:id="rId6">
        <w:r>
          <w:rPr>
            <w:rStyle w:val="Style16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>
      <w:pPr>
        <w:pStyle w:val="Normal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нормативными правовыми актами муниципального образования Ропшинское сельское поселение муниципального образования МО Ломоносовский муниципальный район Ленинградской области, а также настоящим Положением.</w:t>
      </w:r>
    </w:p>
    <w:p>
      <w:pPr>
        <w:pStyle w:val="ConsPlusNormal"/>
        <w:tabs>
          <w:tab w:val="left" w:pos="1080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1080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Состав комиссии</w:t>
      </w:r>
    </w:p>
    <w:p>
      <w:pPr>
        <w:pStyle w:val="ConsPlusNormal"/>
        <w:tabs>
          <w:tab w:val="left" w:pos="1080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1080" w:leader="none"/>
        </w:tabs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2.1.Деятельностью Комиссии руководит председатель Комиссии, который: </w:t>
      </w:r>
    </w:p>
    <w:p>
      <w:pPr>
        <w:pStyle w:val="ConsPlusNormal"/>
        <w:tabs>
          <w:tab w:val="left" w:pos="1080" w:leader="none"/>
        </w:tabs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-осуществляет общее руководство Комиссией; </w:t>
        <w:br/>
        <w:t xml:space="preserve">- определяет дату и время проведения заседания Комиссии; </w:t>
        <w:br/>
        <w:t xml:space="preserve">- дает поручения членам Комиссии, связанные с ее деятельностью; </w:t>
        <w:br/>
        <w:t xml:space="preserve">- председательствует на заседаниях Комиссии. </w:t>
        <w:br/>
        <w:t xml:space="preserve">В случае отсутствия председателя Комиссии деятельностью Комиссии руководит заместитель председателя Комиссии. </w:t>
        <w:br/>
      </w:r>
    </w:p>
    <w:p>
      <w:pPr>
        <w:pStyle w:val="ConsPlusNormal"/>
        <w:tabs>
          <w:tab w:val="left" w:pos="1080" w:leader="none"/>
        </w:tabs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2.2.  Секретарь Комиссии: </w:t>
      </w:r>
    </w:p>
    <w:p>
      <w:pPr>
        <w:pStyle w:val="ConsPlusNormal"/>
        <w:tabs>
          <w:tab w:val="left" w:pos="1080" w:leader="none"/>
        </w:tabs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- информирует членов Комиссии о дате, времени и повестке дня заседания Комиссии; </w:t>
        <w:br/>
        <w:t xml:space="preserve">- готовит материалы на рассмотрение Комиссии; </w:t>
        <w:br/>
        <w:t xml:space="preserve">- оформляет протоколы заседания Комиссии; </w:t>
        <w:br/>
        <w:t xml:space="preserve">- оформляет заключение о признании жилого помещения пригодным (непригодным) для постоянного проживания и акт обследования помещения; </w:t>
        <w:br/>
        <w:t xml:space="preserve">- обеспечивает учет и хранение документов и протоколов заседаний Комиссии. </w:t>
      </w:r>
    </w:p>
    <w:p>
      <w:pPr>
        <w:pStyle w:val="ConsPlusNormal"/>
        <w:tabs>
          <w:tab w:val="left" w:pos="1080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 2.3.  Председатель, заместитель председателя, секретарь Комиссии являются членами Комиссии. В случае отсутствия на заседании секретаря Комиссии его обязанности возлагаются Председателем Комиссии (в случае его отсутствия - заместителем председателя) на одного из членов Комиссии. </w:t>
        <w:br/>
        <w:t xml:space="preserve">Члены Комиссии участвуют в заседаниях Комиссии лично без права передачи своих полномочий другим лицам. </w:t>
      </w:r>
    </w:p>
    <w:p>
      <w:pPr>
        <w:pStyle w:val="ConsPlusNormal"/>
        <w:tabs>
          <w:tab w:val="left" w:pos="1080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В состав комиссии включаются должностные лица входят местной администрации, представитель управляющей компании.</w:t>
      </w:r>
    </w:p>
    <w:p>
      <w:pPr>
        <w:pStyle w:val="ConsPlus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</w:p>
    <w:p>
      <w:pPr>
        <w:pStyle w:val="ConsPlus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2.5. Состав Комиссии утверждается  постановлением  главы местной администрации МО  Ропшинское сельское поселение. </w:t>
      </w:r>
    </w:p>
    <w:p>
      <w:pPr>
        <w:pStyle w:val="Normal"/>
        <w:autoSpaceDE w:val="false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2.6. Решения Комиссии принимаются большинством голосов присутствующих на заседании членов Комиссии и оформляются в виде заключения, которое подписывается всеми членами Комиссии, участвующими в заседании.</w:t>
      </w:r>
    </w:p>
    <w:p>
      <w:pPr>
        <w:pStyle w:val="Normal"/>
        <w:autoSpaceDE w:val="false"/>
        <w:ind w:left="0" w:right="0" w:firstLine="540"/>
        <w:rPr/>
      </w:pPr>
      <w:r>
        <w:rPr>
          <w:sz w:val="24"/>
          <w:szCs w:val="24"/>
        </w:rPr>
        <w:t>При равенстве голосов "за" и "против" решающим является голос председательствующего. В случае несогласия с принятым решением члены Комиссии вправе письменно изложить свое особое мнение, которое прилагается к заключению Комиссии</w:t>
      </w:r>
      <w:r>
        <w:rPr>
          <w:sz w:val="28"/>
          <w:szCs w:val="28"/>
        </w:rPr>
        <w:t>.</w:t>
      </w:r>
    </w:p>
    <w:p>
      <w:pPr>
        <w:pStyle w:val="Normal"/>
        <w:autoSpaceDE w:val="false"/>
        <w:ind w:left="0" w:right="0" w:hanging="0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2.7.  Заседания Комиссии проводятся по мере необходимости (по мере поступления заявления).</w:t>
      </w:r>
    </w:p>
    <w:p>
      <w:pPr>
        <w:pStyle w:val="Normal"/>
        <w:numPr>
          <w:ilvl w:val="0"/>
          <w:numId w:val="0"/>
        </w:numPr>
        <w:shd w:fill="FFFFFF" w:val="clear"/>
        <w:spacing w:before="300" w:after="180"/>
        <w:ind w:left="0" w:right="0" w:firstLine="520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Полномочия Комиссии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К полномочиям Комиссии относится: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3.1.1. Признание:</w:t>
      </w:r>
    </w:p>
    <w:p>
      <w:pPr>
        <w:pStyle w:val="Normal"/>
        <w:shd w:fill="FFFFFF" w:val="clear"/>
        <w:spacing w:lineRule="atLeast" w:line="252"/>
        <w:textAlignment w:val="baseline"/>
        <w:rPr>
          <w:sz w:val="24"/>
          <w:szCs w:val="24"/>
        </w:rPr>
      </w:pPr>
      <w:r>
        <w:rPr>
          <w:sz w:val="24"/>
          <w:szCs w:val="24"/>
        </w:rPr>
        <w:t>соответствия (несоответствия) помещения требованиям, предъявляемым к жилым помещениям;</w:t>
      </w:r>
    </w:p>
    <w:p>
      <w:pPr>
        <w:pStyle w:val="Normal"/>
        <w:shd w:fill="FFFFFF" w:val="clear"/>
        <w:spacing w:lineRule="atLeast" w:line="252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пригодности (непригодности) жилого помещения для проживания;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3.1.2. Определение необходимости проведения работ по переустройству и (или) переоборудованию при переводе жилого помещения в нежилое и нежилого помещения в жилое, а также соответствия проекта переустройства и (или) перепланировки жилого помещения требованиям законодательства.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3.1.3. Определение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в целях приведения утраченных в процессе эксплуатации характеристик жилого помещения в соответствие с установленными требованиями и после их завершения - продолжения процедуры оценки соответствия помещения установленным действующим законодательством требованиям.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3.1.4. Определение технической возможности исключения жилых помещений в общежитиях из состава специализированного жилищного фонда и включения их в состав жилищного фонда социального использования 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 Согласование проектов: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3.1.5.1. На переустройство и перепланировку жилых помещений без изменения их назначения.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3.1.5.2. На переустройство и перепланировку жилых помещений при переводе их в нежилые и нежилых помещений при переводе их в жилые, если при этом существенно не затрагиваются несущие конструкции здания.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3.1.5.3. На капитальный ремонт и реконструкцию жилых помещений, признанных непригодными для постоянного проживания.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3.1.5.4. На капитальный ремонт и переоборудование подвальных помещений без понижения уровня подвала.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3.1.5.5. На перепланировку нежилых помещений без изменения их назначения, если при этом существенно не затрагиваются несущие конструкции здания.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3.1.5.6. На устройство дополнительных входов в нежилые помещения многоквартирного дома без изменения назначения нежилого помещения.</w:t>
        <w:br/>
        <w:t>3.1.6. Приемка в эксплуатацию объектов, указанных в пункте 2.1.5, кроме пункта 2.1.5.2, в соответствии с согласованной проектной документацией после завершения строительных работ.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3.1.7. обследование состояния жилого помещения в соответствии с требованиями мероприятий ФЦП «Устойчивое развитие сельских территории на 2014-2017 годы и на период до 2020 года».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/>
      </w:pPr>
      <w:r>
        <w:rPr>
          <w:sz w:val="24"/>
          <w:szCs w:val="24"/>
        </w:rPr>
        <w:t xml:space="preserve">3.2. Комиссия осуществляет работу на основании заявления собственника помещения либо уполномоченного им лица, либо нанимателя помещения, санитарно-эпидемиологического заключения </w:t>
      </w:r>
      <w:r>
        <w:rPr>
          <w:sz w:val="24"/>
          <w:szCs w:val="24"/>
          <w:shd w:fill="FFFFFF" w:val="clear"/>
        </w:rPr>
        <w:t xml:space="preserve">территориального отдела </w:t>
      </w:r>
      <w:r>
        <w:rPr>
          <w:color w:val="000000"/>
          <w:spacing w:val="1"/>
          <w:sz w:val="24"/>
          <w:szCs w:val="24"/>
        </w:rPr>
        <w:t xml:space="preserve">Управления «Роспотребнадзора» по Ленинградской </w:t>
      </w:r>
      <w:r>
        <w:rPr>
          <w:color w:val="000000"/>
          <w:spacing w:val="6"/>
          <w:sz w:val="24"/>
          <w:szCs w:val="24"/>
        </w:rPr>
        <w:t>области в Ломоносовском районе</w:t>
      </w:r>
      <w:r>
        <w:rPr>
          <w:sz w:val="24"/>
          <w:szCs w:val="24"/>
        </w:rPr>
        <w:t xml:space="preserve">, заявления (заключения) администрации МО Ропшинское сельское поселение, заключения  </w:t>
      </w:r>
      <w:r>
        <w:rPr>
          <w:color w:val="000000"/>
          <w:spacing w:val="6"/>
          <w:sz w:val="24"/>
          <w:szCs w:val="24"/>
        </w:rPr>
        <w:t xml:space="preserve">Отдела надзорной деятельности Ломоносовского района ГУ МЧС России по Ленинградской </w:t>
      </w:r>
      <w:r>
        <w:rPr>
          <w:color w:val="000000"/>
          <w:spacing w:val="1"/>
          <w:sz w:val="24"/>
          <w:szCs w:val="24"/>
        </w:rPr>
        <w:t>области</w:t>
      </w:r>
      <w:r>
        <w:rPr>
          <w:sz w:val="24"/>
          <w:szCs w:val="24"/>
        </w:rPr>
        <w:t>,  суда, органов прокуратуры, иных органов, уполномоченных на проведение государственного контроля.</w:t>
      </w:r>
    </w:p>
    <w:p>
      <w:pPr>
        <w:pStyle w:val="ConsPlusNormal"/>
        <w:tabs>
          <w:tab w:val="left" w:pos="1080" w:leader="none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рассматривает поступившее заявление или заключение органа, уполномоченного на проведение государственного надзора (контроля), в течение 30 дней с даты регистрации и принимает решение (в виде заключения), указанное в настоящем пункте Положения, либо решение о проведении дополнительного обследования оцениваемого помещения.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>
      <w:pPr>
        <w:pStyle w:val="Normal"/>
        <w:numPr>
          <w:ilvl w:val="0"/>
          <w:numId w:val="0"/>
        </w:numPr>
        <w:shd w:fill="FFFFFF" w:val="clear"/>
        <w:spacing w:before="300" w:after="180"/>
        <w:ind w:left="0" w:right="0" w:firstLine="520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Порядок работы Комиссии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/>
      </w:pPr>
      <w:r>
        <w:rPr>
          <w:sz w:val="24"/>
          <w:szCs w:val="24"/>
        </w:rPr>
        <w:t>4.1. Полномочия по пунктам 3.1.1 и 3.1.3 настоящего Положения Комиссия осуществляет в порядке и в соответствии с требованиями, установленными </w:t>
      </w:r>
      <w:hyperlink r:id="rId7">
        <w:r>
          <w:rPr>
            <w:rStyle w:val="Style16"/>
            <w:sz w:val="24"/>
            <w:szCs w:val="24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>
        <w:rPr>
          <w:sz w:val="24"/>
          <w:szCs w:val="24"/>
        </w:rPr>
        <w:t>.</w:t>
      </w:r>
    </w:p>
    <w:p>
      <w:pPr>
        <w:pStyle w:val="Normal"/>
        <w:shd w:fill="FFFFFF" w:val="clear"/>
        <w:spacing w:lineRule="atLeast" w:line="252"/>
        <w:textAlignment w:val="baseline"/>
        <w:rPr>
          <w:sz w:val="24"/>
          <w:szCs w:val="24"/>
        </w:rPr>
      </w:pPr>
      <w:r>
        <w:rPr>
          <w:sz w:val="24"/>
          <w:szCs w:val="24"/>
        </w:rPr>
        <w:t>Для рассмотрения вопроса о признании многоквартирного дома аварийным и подлежащем сносу Комиссии представляется заключение специализированной организации, проводившей обследование.</w:t>
        <w:br/>
        <w:t>4.2. Вопросы, отнесенные к полномочиям Комиссии в соответствии с пунктами 3.1.2-3.1.7 настоящего Положения, рассматриваются Комиссией на основании представленных документов с выездом на место для обследования в случае необходимости.</w:t>
      </w:r>
    </w:p>
    <w:p>
      <w:pPr>
        <w:pStyle w:val="Normal"/>
        <w:autoSpaceDE w:val="false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>
      <w:pPr>
        <w:pStyle w:val="Normal"/>
        <w:shd w:fill="FFFFFF" w:val="clear"/>
        <w:spacing w:lineRule="atLeast" w:line="252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окончании работы Комиссии составляется заключение, а в случаях обследования - акт обследования в трех экземплярах.</w:t>
      </w:r>
    </w:p>
    <w:p>
      <w:pPr>
        <w:pStyle w:val="Normal"/>
        <w:shd w:fill="FFFFFF" w:val="clear"/>
        <w:spacing w:lineRule="atLeast" w:line="252"/>
        <w:textAlignment w:val="baseline"/>
        <w:rPr>
          <w:sz w:val="24"/>
          <w:szCs w:val="24"/>
        </w:rPr>
      </w:pPr>
      <w:r>
        <w:rPr>
          <w:sz w:val="24"/>
          <w:szCs w:val="24"/>
        </w:rPr>
        <w:t>После принятия администрацией МО Ропшинское сельское поселение на основании полученного заключения Комиссии соответствующего решения Комиссия в пятидневный срок направляет по одному экземпляру постановление  администрации МО Ропшинское сельское поселение и заключения Комиссии заявителю.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Комиссия направляет заключение в администрацию  МО Ропшинское сельское поселение, собственнику жилья и заявителю не позднее рабочего дня, следующего за днем оформления заключения.</w:t>
        <w:br/>
        <w:t>Прием документов, необходимых для рассмотрения Комиссией вопросов, отнесенных к ее полномочиям в соответствии с пунктами 3.1.5.1 и 3.1.5.2 настоящего Положения, осуществляется в порядке и в соответствии с требованиями, установленными </w:t>
      </w:r>
      <w:hyperlink r:id="rId8">
        <w:r>
          <w:rPr>
            <w:rStyle w:val="Style16"/>
            <w:sz w:val="24"/>
            <w:szCs w:val="24"/>
          </w:rPr>
          <w:t>Жилищным кодексом Российской Федерации</w:t>
        </w:r>
      </w:hyperlink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spacing w:before="300" w:after="180"/>
        <w:ind w:left="0" w:right="0" w:firstLine="520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Организация деятельности Комиссии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5.1. Работа Комиссии организуется и направляется председателем Комиссии. В случае временного отсутствия председателя Комиссии его обязанности исполняет заместитель председателя Комиссии. 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5.2. Председатель Комиссии вправе по своему усмотрению или по требованию членов Комиссии: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5.2.1. Привлекать к работе Комиссии специалистов эксплуатационных, проектных и других организаций, а также работников эксплуатационных организаций для своевременной подготовки объектов и мест обследования.</w:t>
      </w:r>
    </w:p>
    <w:p>
      <w:p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5.2.2. Опрашивать жильцов и арендаторов домов (помещений) в целях уточнения информации, необходимой для принятия Комиссией решения.</w:t>
      </w:r>
    </w:p>
    <w:p>
      <w:pPr>
        <w:pStyle w:val="ConsPlusNormal"/>
        <w:tabs>
          <w:tab w:val="left" w:pos="1080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Решение администрации может быть обжаловано заинтересованными лицами в судебном порядке.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hd w:fill="FFFFFF" w:val="clear"/>
        <w:spacing w:lineRule="atLeast" w:line="252"/>
        <w:ind w:left="0" w:right="0" w:hang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5.5. Срок хранения актов Комиссии не менее 10 лет. </w:t>
      </w:r>
    </w:p>
    <w:p>
      <w:pPr>
        <w:pStyle w:val="Normal"/>
        <w:ind w:left="0" w:right="0" w:hanging="0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ind w:left="0" w:right="0" w:hanging="0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2)</w:t>
      </w:r>
    </w:p>
    <w:p>
      <w:pPr>
        <w:pStyle w:val="Normal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>Утвержден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местной  администрации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Ропшинское сельское поселение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от  17.08. 2015 года №401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межведомственной комиссии, действующей на территории муниципального образования Ропшинское сельское поселение муниципального образования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Ломоносовского муниципального  района  Ленинградской области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комиссии:</w:t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Морозов Р.М. – глава местной  администрации МО Ропшинское сельское поселение;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Заместитель председателя комиссии: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Горпенюк О.В. – вед. специалист местной администрации МО Ропшинское сельское поселение;</w:t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 комиссии: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Михайлова В.А.  – вед. специалист местной  администрации МО Ропшинское сельское поселение;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Члены комиссии: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Карпова Е.Г. – депутат совета депутатов МО Ропшинское сельское поселение;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Иванова Я.В.–  специалист ( архитектор) местной администрации МО Ропшинское сельское поселение;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Представитель управляющей компании ( по согласованию);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Представитель территориального отдела правления Роспотребнадзора по Ломоносовском район ( по согласованию);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Представитель  Филиала ГП «Леноблинвентарзация»  Ломоносовского БТИ ( по согласованию);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Представитель  ТО ГПН Ломоносовского района ГПН Г МЧС России  по Ленинградской области ( по согласованию);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Представитель комитета государственного  жилищной надзора и контроля  Ленинградской области ( по согласованию).</w:t>
      </w:r>
    </w:p>
    <w:p>
      <w:pPr>
        <w:pStyle w:val="Normal"/>
        <w:tabs>
          <w:tab w:val="left" w:pos="3885" w:leader="none"/>
        </w:tabs>
        <w:ind w:left="0" w:right="0" w:hanging="0"/>
        <w:rPr>
          <w:rFonts w:ascii="Times New Roman" w:hAnsi="Times New Roman" w:cs="Times New Roman"/>
          <w:i/>
          <w:i/>
          <w:color w:val="1D1B11"/>
          <w:sz w:val="24"/>
          <w:szCs w:val="24"/>
          <w:lang w:val="ru-RU" w:eastAsia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701" w:right="567" w:header="720" w:top="851" w:footer="720" w:bottom="851" w:gutter="0"/>
      <w:pgNumType w:fmt="decimal"/>
      <w:formProt w:val="false"/>
      <w:titlePg/>
      <w:textDirection w:val="lrTb"/>
      <w:docGrid w:type="default" w:linePitch="272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</w:r>
  </w:p>
  <w:p>
    <w:pPr>
      <w:pStyle w:val="Style39"/>
      <w:jc w:val="right"/>
      <w:rPr/>
    </w:pPr>
    <w:r>
      <w:rPr/>
    </w:r>
  </w:p>
  <w:p>
    <w:pPr>
      <w:pStyle w:val="Style39"/>
      <w:tabs>
        <w:tab w:val="center" w:pos="4677" w:leader="none"/>
        <w:tab w:val="right" w:pos="9072" w:leader="none"/>
      </w:tabs>
      <w:rPr>
        <w:color w:val="000080"/>
      </w:rPr>
    </w:pPr>
    <w:r>
      <w:rPr>
        <w:color w:val="00008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S1">
    <w:name w:val="s1"/>
    <w:qFormat/>
    <w:rPr/>
  </w:style>
  <w:style w:type="character" w:styleId="Style20">
    <w:name w:val="Выделение"/>
    <w:rPr>
      <w:i/>
      <w:iCs/>
    </w:rPr>
  </w:style>
  <w:style w:type="character" w:styleId="S4">
    <w:name w:val="s4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40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paragraph" w:styleId="P15">
    <w:name w:val="p15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P17">
    <w:name w:val="p17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23">
    <w:name w:val="Основной текст2"/>
    <w:basedOn w:val="Normal"/>
    <w:qFormat/>
    <w:pPr>
      <w:shd w:fill="FFFFFF" w:val="clear"/>
      <w:snapToGrid w:val="true"/>
      <w:spacing w:lineRule="exact" w:line="274" w:before="540" w:after="0"/>
      <w:ind w:left="0" w:right="0" w:hanging="700"/>
      <w:jc w:val="left"/>
    </w:pPr>
    <w:rPr>
      <w:rFonts w:ascii="Calibri" w:hAnsi="Calibri" w:eastAsia="Calibri" w:cs="Calibri"/>
      <w:shd w:fill="FFFFFF" w:val="clear"/>
      <w:lang w:val="ru-RU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17E54090A3B4D9B2C92D413D97D7C331F029CE5F4A70C579943C0a6EBH" TargetMode="External"/><Relationship Id="rId4" Type="http://schemas.openxmlformats.org/officeDocument/2006/relationships/hyperlink" Target="consultantplus://offline/ref=417E54090A3B4D9B2C92D413D97D7C331C0C99E6FBF15B55C816CE6E9Aa0E0H" TargetMode="External"/><Relationship Id="rId5" Type="http://schemas.openxmlformats.org/officeDocument/2006/relationships/hyperlink" Target="consultantplus://offline/ref=417E54090A3B4D9B2C92D413D97D7C331C0C98E9F9F75B55C816CE6E9A0061352DA982D918012FCFaFE9H" TargetMode="External"/><Relationship Id="rId6" Type="http://schemas.openxmlformats.org/officeDocument/2006/relationships/hyperlink" Target="consultantplus://offline/ref=417E54090A3B4D9B2C92D413D97D7C331C0E9FE8F8F35B55C816CE6E9Aa0E0H" TargetMode="External"/><Relationship Id="rId7" Type="http://schemas.openxmlformats.org/officeDocument/2006/relationships/hyperlink" Target="http://docs.cntd.ru/document/901966282" TargetMode="External"/><Relationship Id="rId8" Type="http://schemas.openxmlformats.org/officeDocument/2006/relationships/hyperlink" Target="http://docs.cntd.ru/document/901919946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LibreOffice/5.0.4.2$Windows_x86 LibreOffice_project/2b9802c1994aa0b7dc6079e128979269cf95bc78</Application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2016-01-12T16:18:31Z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