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i/>
          <w:i/>
          <w:lang w:val="ru-RU" w:eastAsia="ru-RU"/>
        </w:rPr>
      </w:pPr>
      <w:r>
        <w:rPr>
          <w:i/>
          <w:lang w:val="ru-RU" w:eastAsia="ru-RU"/>
        </w:rPr>
        <w:drawing>
          <wp:inline distT="0" distB="127000" distL="0" distR="0">
            <wp:extent cx="772160" cy="768985"/>
            <wp:effectExtent l="0" t="0" r="0" b="0"/>
            <wp:docPr id="1" name="Изображение5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8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/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561</w:t>
      </w:r>
    </w:p>
    <w:p>
      <w:pPr>
        <w:pStyle w:val="21"/>
        <w:tabs>
          <w:tab w:val="left" w:pos="708" w:leader="none"/>
        </w:tabs>
        <w:rPr/>
      </w:pPr>
      <w:r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</w:rPr>
        <w:t>.2015 г</w:t>
      </w:r>
      <w:r>
        <w:rPr>
          <w:b/>
          <w:sz w:val="24"/>
          <w:szCs w:val="24"/>
          <w:lang w:val="ru-RU"/>
        </w:rPr>
        <w:t>.</w:t>
      </w:r>
    </w:p>
    <w:p>
      <w:pPr>
        <w:pStyle w:val="Normal"/>
        <w:ind w:left="0" w:right="3798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Об утверждении в новой редакции муниципальной адресной  программы  «Переселение граждан из аварийного жилищного  фонда на территории МО Ропшинское сельское поселение МО Ломоносовского муниципального района  Ленинградской области в 2015 году»,  утвержденной  постановлением № 499 от 31.10.2014 г.</w:t>
      </w:r>
    </w:p>
    <w:p>
      <w:pPr>
        <w:pStyle w:val="Normal"/>
        <w:ind w:left="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ind w:left="0" w:right="0" w:hanging="0"/>
        <w:rPr/>
      </w:pPr>
      <w:r>
        <w:rPr>
          <w:rFonts w:cs="Times New Roman CYR" w:ascii="Times New Roman CYR" w:hAnsi="Times New Roman CYR"/>
          <w:sz w:val="22"/>
          <w:szCs w:val="22"/>
        </w:rPr>
        <w:t xml:space="preserve">В связи с изменением объема финансирования, и на основании решения совета депутатов № 39от 13.11.2015г. «о внесении изменений в решение № 25 от 10.12.2014 г. « о бюджете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2015г. и на плановый период 2016-2017 годов», </w:t>
      </w:r>
      <w:r>
        <w:rPr>
          <w:rFonts w:eastAsia="Calibri"/>
          <w:color w:val="000000"/>
          <w:sz w:val="22"/>
          <w:szCs w:val="22"/>
        </w:rPr>
        <w:t>местная администрация муниципального образования Ропшинское сельское поселение</w:t>
      </w:r>
    </w:p>
    <w:p>
      <w:pPr>
        <w:pStyle w:val="Normal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>
      <w:pPr>
        <w:pStyle w:val="Normal"/>
        <w:ind w:left="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autoSpaceDE w:val="false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1.  Муниципальную адресную программу «Переселение граждан из аварийного жилищного фонда на территории МО Ропшинское сельское поселение МО Ломоносовского муниципального района Ленинградской области в 2015 году»,  утвержденную  постановлением местной администрации МО Ропшинское сельское поселение  № 499 от 31.10.2014г.,  для приведения  ее в соответствие с решением совета депутатов МО Ропшинское сельское поселение  № 39   от 13.11.2015 года «О бюджете муниципального образования Ропшинское  сельское поселение   на 2015 г.  и плановый период 2016-2017 годы» изложить в новой редакции (прилагается).</w:t>
      </w:r>
    </w:p>
    <w:p>
      <w:pPr>
        <w:pStyle w:val="Normal"/>
        <w:ind w:left="0" w:right="42" w:hanging="0"/>
        <w:rPr>
          <w:sz w:val="22"/>
          <w:szCs w:val="22"/>
        </w:rPr>
      </w:pPr>
      <w:r>
        <w:rPr>
          <w:sz w:val="22"/>
          <w:szCs w:val="22"/>
        </w:rPr>
        <w:t>2. Постановление местной администрации №499 от 31.10.2014 года «Об утверждении адресной муниципальной программы  «Переселение граждан из аварийного жилищного фонда на территории МО Ропшинское сельское поселение МО Ломоносовского муниципального района Ленинградской области в 2015 году»» считать утратившим силу.</w:t>
      </w:r>
    </w:p>
    <w:p>
      <w:pPr>
        <w:pStyle w:val="Normal"/>
        <w:ind w:left="0" w:right="0" w:hanging="0"/>
        <w:rPr/>
      </w:pPr>
      <w:r>
        <w:rPr>
          <w:sz w:val="22"/>
          <w:szCs w:val="22"/>
        </w:rPr>
        <w:t xml:space="preserve">3. Финансирование расходов, связанных с реализацией муниципальной адресной  программы «Переселение граждан из аварийного жилищного фонда на территории МО Ропшинское сельское поселение МО Ломоносовского муниципального района Ленинградской области в 2015 году» производить в пределах средств, предусмотренных на эти цели в бюджете </w:t>
      </w:r>
      <w:r>
        <w:rPr>
          <w:color w:val="000000"/>
          <w:sz w:val="22"/>
          <w:szCs w:val="22"/>
        </w:rPr>
        <w:t>Ропшинского</w:t>
      </w:r>
      <w:r>
        <w:rPr>
          <w:sz w:val="22"/>
          <w:szCs w:val="22"/>
        </w:rPr>
        <w:t xml:space="preserve"> сельского поселения.</w:t>
      </w:r>
    </w:p>
    <w:p>
      <w:pPr>
        <w:pStyle w:val="Normal"/>
        <w:ind w:left="0" w:right="0" w:hanging="0"/>
        <w:rPr/>
      </w:pPr>
      <w:r>
        <w:rPr>
          <w:sz w:val="22"/>
          <w:szCs w:val="22"/>
        </w:rPr>
        <w:t xml:space="preserve">4. Настоящее Постановление вступает в силу с момента опубликования (обнародования)  и подлежит размещению </w:t>
      </w:r>
      <w:r>
        <w:rPr>
          <w:spacing w:val="-2"/>
          <w:sz w:val="22"/>
          <w:szCs w:val="22"/>
        </w:rPr>
        <w:t>на официальном сайте муниципального образования в сети интернет.</w:t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 xml:space="preserve">5.Контроль за исполнением настоящего постановления оставляю за собой. </w:t>
        <w:tab/>
        <w:t xml:space="preserve"> </w:t>
      </w:r>
    </w:p>
    <w:p>
      <w:pPr>
        <w:pStyle w:val="Normal"/>
        <w:ind w:left="0" w:right="11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113" w:hanging="0"/>
        <w:rPr>
          <w:sz w:val="22"/>
          <w:szCs w:val="22"/>
        </w:rPr>
      </w:pPr>
      <w:r>
        <w:rPr>
          <w:sz w:val="22"/>
          <w:szCs w:val="22"/>
        </w:rPr>
        <w:t>Глава местной администрации</w:t>
      </w:r>
    </w:p>
    <w:p>
      <w:pPr>
        <w:pStyle w:val="Normal"/>
        <w:ind w:left="0" w:right="113" w:hanging="0"/>
        <w:rPr>
          <w:sz w:val="22"/>
          <w:szCs w:val="22"/>
        </w:rPr>
      </w:pPr>
      <w:r>
        <w:rPr>
          <w:sz w:val="22"/>
          <w:szCs w:val="22"/>
        </w:rPr>
        <w:t>МО Ропшинское сельское поселение</w:t>
        <w:tab/>
        <w:tab/>
        <w:tab/>
        <w:tab/>
        <w:tab/>
        <w:t>Морозов Р.М.</w:t>
      </w:r>
    </w:p>
    <w:p>
      <w:pPr>
        <w:pStyle w:val="Normal"/>
        <w:ind w:left="0" w:right="11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113" w:hanging="0"/>
        <w:rPr/>
      </w:pPr>
      <w:r>
        <w:rPr/>
        <w:t>исп. Михайлова В.А.</w:t>
      </w:r>
    </w:p>
    <w:p>
      <w:pPr>
        <w:pStyle w:val="Normal"/>
        <w:tabs>
          <w:tab w:val="left" w:pos="3645" w:leader="none"/>
        </w:tabs>
        <w:jc w:val="right"/>
        <w:rPr/>
      </w:pPr>
      <w:r>
        <w:rPr/>
      </w:r>
    </w:p>
    <w:p>
      <w:pPr>
        <w:pStyle w:val="Normal"/>
        <w:autoSpaceDE w:val="false"/>
        <w:ind w:left="5406" w:right="0" w:firstLine="22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УТВЕРЖДЕНА</w:t>
      </w:r>
    </w:p>
    <w:p>
      <w:pPr>
        <w:pStyle w:val="Normal"/>
        <w:autoSpaceDE w:val="false"/>
        <w:ind w:left="5406" w:right="0" w:firstLine="22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постановлением местной администрации</w:t>
      </w:r>
    </w:p>
    <w:p>
      <w:pPr>
        <w:pStyle w:val="Normal"/>
        <w:autoSpaceDE w:val="false"/>
        <w:ind w:left="5406" w:right="0" w:firstLine="22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Ропшинского сельского поселения</w:t>
      </w:r>
    </w:p>
    <w:p>
      <w:pPr>
        <w:pStyle w:val="Normal"/>
        <w:autoSpaceDE w:val="false"/>
        <w:ind w:left="5406" w:right="0" w:firstLine="22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16.11.2015 года № 561</w:t>
      </w:r>
    </w:p>
    <w:p>
      <w:pPr>
        <w:pStyle w:val="Normal"/>
        <w:autoSpaceDE w:val="false"/>
        <w:ind w:left="5406" w:right="0" w:firstLine="22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(приложение)</w:t>
      </w:r>
    </w:p>
    <w:p>
      <w:pPr>
        <w:pStyle w:val="Normal"/>
        <w:autoSpaceDE w:val="false"/>
        <w:ind w:left="5406" w:right="0" w:firstLine="5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left" w:pos="3645" w:leader="none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left" w:pos="3645" w:leader="none"/>
        </w:tabs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3645" w:leader="none"/>
        </w:tabs>
        <w:jc w:val="right"/>
        <w:rPr/>
      </w:pPr>
      <w:r>
        <w:rPr/>
      </w:r>
    </w:p>
    <w:p>
      <w:pPr>
        <w:pStyle w:val="Normal"/>
        <w:tabs>
          <w:tab w:val="left" w:pos="3645" w:leader="none"/>
        </w:tabs>
        <w:rPr/>
      </w:pPr>
      <w:r>
        <w:rPr/>
      </w:r>
    </w:p>
    <w:p>
      <w:pPr>
        <w:pStyle w:val="Normal"/>
        <w:tabs>
          <w:tab w:val="left" w:pos="3645" w:leader="none"/>
        </w:tabs>
        <w:jc w:val="right"/>
        <w:rPr/>
      </w:pPr>
      <w:r>
        <w:rPr/>
      </w:r>
    </w:p>
    <w:p>
      <w:pPr>
        <w:pStyle w:val="Normal"/>
        <w:tabs>
          <w:tab w:val="left" w:pos="364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МУНИЦИПАЛЬНАЯ АДРЕСНАЯ ПРОГРАММА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64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64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64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76" w:firstLine="5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«Переселение граждан из аварийного жилищного фонда</w:t>
      </w:r>
    </w:p>
    <w:p>
      <w:pPr>
        <w:pStyle w:val="Normal"/>
        <w:ind w:left="0" w:right="76" w:firstLine="520"/>
        <w:jc w:val="center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МО Ропшинское сельское поселение </w:t>
      </w:r>
    </w:p>
    <w:p>
      <w:pPr>
        <w:pStyle w:val="Normal"/>
        <w:ind w:left="0" w:right="76" w:firstLine="5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МО Ломоносовского муниципального района Ленинградской области</w:t>
      </w:r>
    </w:p>
    <w:p>
      <w:pPr>
        <w:pStyle w:val="Normal"/>
        <w:ind w:left="0" w:right="76" w:firstLine="520"/>
        <w:jc w:val="center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2015 году»</w:t>
      </w:r>
    </w:p>
    <w:p>
      <w:pPr>
        <w:pStyle w:val="Normal"/>
        <w:tabs>
          <w:tab w:val="left" w:pos="364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51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651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64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1395" w:leader="none"/>
          <w:tab w:val="left" w:pos="651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510" w:leader="none"/>
        </w:tabs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jc w:val="center"/>
        <w:rPr/>
      </w:pPr>
      <w:r>
        <w:rPr/>
      </w:r>
    </w:p>
    <w:p>
      <w:pPr>
        <w:pStyle w:val="Normal"/>
        <w:tabs>
          <w:tab w:val="left" w:pos="6510" w:leader="none"/>
        </w:tabs>
        <w:rPr/>
      </w:pPr>
      <w:r>
        <w:rPr/>
      </w:r>
    </w:p>
    <w:p>
      <w:pPr>
        <w:pStyle w:val="Normal"/>
        <w:tabs>
          <w:tab w:val="left" w:pos="6510" w:leader="none"/>
        </w:tabs>
        <w:rPr/>
      </w:pPr>
      <w:r>
        <w:rPr/>
      </w:r>
    </w:p>
    <w:p>
      <w:pPr>
        <w:pStyle w:val="Normal"/>
        <w:tabs>
          <w:tab w:val="left" w:pos="6510" w:leader="none"/>
        </w:tabs>
        <w:rPr/>
      </w:pPr>
      <w:r>
        <w:rPr/>
      </w:r>
    </w:p>
    <w:p>
      <w:pPr>
        <w:pStyle w:val="Normal"/>
        <w:tabs>
          <w:tab w:val="left" w:pos="6510" w:leader="none"/>
        </w:tabs>
        <w:rPr/>
      </w:pPr>
      <w:r>
        <w:rPr/>
      </w:r>
    </w:p>
    <w:p>
      <w:pPr>
        <w:pStyle w:val="Normal"/>
        <w:tabs>
          <w:tab w:val="left" w:pos="6510" w:leader="none"/>
        </w:tabs>
        <w:rPr/>
      </w:pPr>
      <w:r>
        <w:rPr/>
      </w:r>
    </w:p>
    <w:p>
      <w:pPr>
        <w:pStyle w:val="Normal"/>
        <w:tabs>
          <w:tab w:val="left" w:pos="6510" w:leader="none"/>
        </w:tabs>
        <w:rPr/>
      </w:pPr>
      <w:r>
        <w:rPr/>
      </w:r>
    </w:p>
    <w:p>
      <w:pPr>
        <w:pStyle w:val="Normal"/>
        <w:tabs>
          <w:tab w:val="left" w:pos="6510" w:leader="none"/>
        </w:tabs>
        <w:rPr/>
      </w:pPr>
      <w:r>
        <w:rPr/>
      </w:r>
    </w:p>
    <w:p>
      <w:pPr>
        <w:pStyle w:val="Normal"/>
        <w:tabs>
          <w:tab w:val="left" w:pos="6510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6510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6510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left="0" w:right="0" w:firstLine="520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МУНИЦИПАЛЬНОЙ АДРЕСНОЙ ПРОГРАММЫ</w:t>
      </w:r>
    </w:p>
    <w:p>
      <w:pPr>
        <w:pStyle w:val="Normal"/>
        <w:autoSpaceDE w:val="false"/>
        <w:ind w:left="0" w:right="0" w:firstLine="540"/>
        <w:jc w:val="center"/>
        <w:rPr>
          <w:b/>
          <w:b/>
        </w:rPr>
      </w:pPr>
      <w:r>
        <w:rPr>
          <w:b/>
        </w:rPr>
        <w:t>"ПЕРЕСЕЛЕНИЕ ГРАЖДАН ИЗ АВАРИЙНОГО ЖИЛИЩНОГО ФОНДА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 xml:space="preserve">НА ТЕРРИТОРИИ МУНИЦИПАЛЬНОГО ОБРАЗОВАНИЯ 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РОПШИНСКОЕ  СЕЛЬСКОЕ ПОСЕЛЕНИЕ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МУНИЦИПАЛЬНОГО ОБРАЗОВАНИЯ</w:t>
        <w:br/>
        <w:t>ЛОМОНОСОВСКИЙ МУНИЦИПАЛЬНЫЙ РАЙОН</w:t>
      </w:r>
    </w:p>
    <w:p>
      <w:pPr>
        <w:pStyle w:val="Normal"/>
        <w:autoSpaceDE w:val="false"/>
        <w:ind w:left="284" w:right="0" w:firstLine="520"/>
        <w:jc w:val="center"/>
        <w:rPr>
          <w:b/>
          <w:b/>
        </w:rPr>
      </w:pPr>
      <w:r>
        <w:rPr>
          <w:b/>
        </w:rPr>
        <w:t>ЛЕНИНГРАДСКОЙ ОБЛАСТИ, В 2015 ГОДУ»</w:t>
      </w:r>
    </w:p>
    <w:p>
      <w:pPr>
        <w:pStyle w:val="Normal"/>
        <w:autoSpaceDE w:val="false"/>
        <w:ind w:left="284" w:right="0" w:firstLine="520"/>
        <w:jc w:val="center"/>
        <w:rPr>
          <w:b/>
          <w:b/>
        </w:rPr>
      </w:pPr>
      <w:r>
        <w:rPr>
          <w:b/>
        </w:rPr>
      </w:r>
    </w:p>
    <w:tbl>
      <w:tblPr>
        <w:tblW w:w="9527" w:type="dxa"/>
        <w:jc w:val="left"/>
        <w:tblInd w:w="-6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2025"/>
        <w:gridCol w:w="7502"/>
      </w:tblGrid>
      <w:tr>
        <w:trPr>
          <w:trHeight w:val="480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Полное        </w:t>
              <w:br/>
              <w:t xml:space="preserve">наименование  </w:t>
              <w:br/>
              <w:t xml:space="preserve">Программы   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Муниципальная адресная программа "Переселение граждан из аварийного жилищного фонда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 в 2015 году» (Далее - Программа)  </w:t>
            </w:r>
          </w:p>
        </w:tc>
      </w:tr>
      <w:tr>
        <w:trPr>
          <w:trHeight w:val="480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/>
            </w:pPr>
            <w:hyperlink r:id="rId3">
              <w:r>
                <w:rPr>
                  <w:rStyle w:val="Style16"/>
                  <w:rFonts w:cs="Times New Roman" w:ascii="Times New Roman" w:hAnsi="Times New Roman"/>
                  <w:iCs/>
                  <w:color w:val="000000"/>
                  <w:sz w:val="22"/>
                  <w:szCs w:val="22"/>
                  <w:u w:val="none"/>
                </w:rPr>
                <w:t xml:space="preserve">Федеральный закон от 21.07.2007 № 185-ФЗ «О Фонде содействия реформированию жилищно-коммунального хозяйства», </w:t>
              </w:r>
            </w:hyperlink>
            <w:hyperlink r:id="rId4">
              <w:r>
                <w:rPr>
                  <w:rStyle w:val="Style16"/>
                  <w:rFonts w:cs="Times New Roman" w:ascii="Times New Roman" w:hAnsi="Times New Roman"/>
                  <w:iCs/>
                  <w:color w:val="000000"/>
                  <w:sz w:val="22"/>
                  <w:szCs w:val="22"/>
                  <w:u w:val="none"/>
                </w:rPr>
                <w:t>Постановление Правительства РФ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>
        <w:trPr>
          <w:trHeight w:val="480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Цель 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ind w:left="31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Ликвидация аварийного жилья в жилищном фонде муниципального образования Ропшинское сельское поселение муниципального образования Ломоносовский муниципальный район Ленинградской области участвующих в Программе.</w:t>
            </w:r>
          </w:p>
        </w:tc>
      </w:tr>
      <w:tr>
        <w:trPr>
          <w:trHeight w:val="947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Задачи        </w:t>
              <w:br/>
              <w:t xml:space="preserve">Программы   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благоустроенным жильем граждан, проживающих в муниципальном жилищном фонде, признанном непригодным для постоянного проживания,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жилищно-коммунального хозяйства;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приобретение квартиры в муниципальную собственность для предоставления гражданам переселяемым из аварийного жилья;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снос 1 многоквартирного аварийного муниципального дома, признанного таковым до 1 января 2007 года в связи с физическим износом в процессе их эксплуатации.</w:t>
            </w:r>
          </w:p>
        </w:tc>
      </w:tr>
      <w:tr>
        <w:trPr>
          <w:trHeight w:val="947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выполнением Программы и целевым использованием средств Фонда, направленных на реализацию Программы, осуществляет Комитет по строительству Ленинградской области.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Оценку результатов реализации Программы осуществляет местная администрация МО Ропшинское  сельское  поселение. </w:t>
            </w:r>
          </w:p>
        </w:tc>
      </w:tr>
      <w:tr>
        <w:trPr>
          <w:trHeight w:val="947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Муниципальный заказчик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местная администрация МО Ропшинское сельское поселение</w:t>
            </w:r>
          </w:p>
        </w:tc>
      </w:tr>
      <w:tr>
        <w:trPr>
          <w:trHeight w:val="947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Глава местной администрации МО Ропшинское сельское поселение; вед. специалист местной администрации МО Ропшинское сельское поселение.</w:t>
            </w:r>
          </w:p>
        </w:tc>
      </w:tr>
      <w:tr>
        <w:trPr>
          <w:trHeight w:val="666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Сроки реализации 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ind w:left="284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2015 год</w:t>
            </w:r>
          </w:p>
          <w:p>
            <w:pPr>
              <w:pStyle w:val="Normal"/>
              <w:ind w:left="284" w:right="0" w:firstLine="520"/>
              <w:rPr/>
            </w:pPr>
            <w:r>
              <w:rPr/>
            </w:r>
          </w:p>
        </w:tc>
      </w:tr>
      <w:tr>
        <w:trPr>
          <w:trHeight w:val="840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Источники      </w:t>
              <w:br/>
              <w:t>финансирования</w:t>
              <w:br/>
              <w:t xml:space="preserve">муниципальной Программы   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ind w:left="284" w:right="0" w:hang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Общий объем финансирования Программы  2100,00 тыс.  рублей,   из них:                                              </w:t>
              <w:br/>
              <w:t>средства  Фонда –  740,58 тыс. руб.;</w:t>
            </w:r>
          </w:p>
          <w:p>
            <w:pPr>
              <w:pStyle w:val="ConsPlusCell"/>
              <w:widowControl/>
              <w:ind w:left="284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средства областного бюджета –  370,87 тыс.руб;         </w:t>
              <w:br/>
              <w:t>средства местного бюджета – 988,55 тыс. руб.</w:t>
            </w: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</w:t>
            </w:r>
          </w:p>
        </w:tc>
      </w:tr>
      <w:tr>
        <w:trPr>
          <w:trHeight w:val="600" w:hRule="atLeast"/>
          <w:cantSplit w:val="true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Планируемые   </w:t>
              <w:br/>
              <w:t xml:space="preserve">результаты  </w:t>
              <w:br/>
              <w:t xml:space="preserve">реализации муниципальной    </w:t>
              <w:br/>
              <w:t xml:space="preserve">Программы   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Cell"/>
              <w:widowControl/>
              <w:ind w:left="284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Переселение граждан из аварийного многоквартирного дома, признанного аварийным до 1 января 2007 года и подлежащему сносу, общей площадью 0,186 тыс. кв. м и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приобретение квартиры в муниципальную собственность для предоставления гражданам переселяемым из аварийного жилья;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ind w:left="0" w:right="0" w:firstLine="52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5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  Характеристика текущего состояния  и основных проблем программными методами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60" w:leader="none"/>
        </w:tabs>
        <w:autoSpaceDE w:val="false"/>
        <w:ind w:left="0" w:right="0" w:firstLine="142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гражданина, препятствуют реализации права на приватизацию жилого помещения. Проживание в аварийных жилых помещениях практически всегда связано с низким уровнем благоустройства, что создает неравные условия для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важных задач и требует скорейшего решения с использованием программно-целевого метода.</w:t>
      </w:r>
    </w:p>
    <w:p>
      <w:pPr>
        <w:pStyle w:val="Normal"/>
        <w:tabs>
          <w:tab w:val="left" w:pos="360" w:leader="none"/>
        </w:tabs>
        <w:autoSpaceDE w:val="false"/>
        <w:ind w:left="0" w:right="0" w:firstLine="142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Основная задача адресной программы –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граждан, проживающих в домах, не отвечающих санитарным и техническим требованиям и находящимся, в аварийном состоянии. Переселение граждан из многоквартирных домов осуществляется путем заключения муниципальных контрактов на строительство малоэтажных жилых домов или приобретение жилых помещений в таких домах у застройщика в соответствии с требованиями жилищного законодательства.</w:t>
      </w:r>
    </w:p>
    <w:p>
      <w:pPr>
        <w:pStyle w:val="Normal"/>
        <w:tabs>
          <w:tab w:val="left" w:pos="360" w:leader="none"/>
        </w:tabs>
        <w:autoSpaceDE w:val="false"/>
        <w:ind w:left="0" w:right="0" w:firstLine="142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В рамках реализации Программы переселению подлежат граждане, проживающие в многоквартирных домах, признанных до 1 января 2007 года в установленном порядке аварийными и подлежащими сносу в связи с физическим износом в процессе их эксплуатации, включенных в реестр аварийных домов.</w:t>
      </w:r>
    </w:p>
    <w:p>
      <w:pPr>
        <w:pStyle w:val="Normal"/>
        <w:tabs>
          <w:tab w:val="left" w:pos="360" w:leader="none"/>
        </w:tabs>
        <w:autoSpaceDE w:val="false"/>
        <w:ind w:left="0" w:right="0" w:firstLine="142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Граждане, проживающие в многоквартирных ветхих и аварийных жилых помещениях (жилых домах), в основном не в состоянии самостоятельно приобрести жилые помещения удовлетворительного качества.</w:t>
      </w:r>
    </w:p>
    <w:p>
      <w:pPr>
        <w:pStyle w:val="Normal"/>
        <w:tabs>
          <w:tab w:val="left" w:pos="360" w:leader="none"/>
        </w:tabs>
        <w:ind w:left="0" w:right="0" w:firstLine="142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Общая площадь многоквартирного жилищного фонда муниципального образования Ропшинское сельское поселение на 01.10.2014 год  составляет 34,62 тыс. кв.м. и насчитывает 44 многоквартирных дома, из которых 1  дом признан аварийным, общая площадь аварийного многоквартирного жилого дома составляет 186,3  кв.м., расселяемая площадь 46,3 кв.м. в аварийном жилищном фонде проживает 3 человека. </w:t>
      </w:r>
    </w:p>
    <w:p>
      <w:pPr>
        <w:pStyle w:val="Normal"/>
        <w:tabs>
          <w:tab w:val="left" w:pos="360" w:leader="none"/>
        </w:tabs>
        <w:autoSpaceDE w:val="false"/>
        <w:ind w:left="0" w:right="0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360" w:leader="none"/>
        </w:tabs>
        <w:autoSpaceDE w:val="false"/>
        <w:ind w:left="0" w:right="0"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Цели и задачи Программы</w:t>
      </w:r>
    </w:p>
    <w:p>
      <w:pPr>
        <w:pStyle w:val="Normal"/>
        <w:numPr>
          <w:ilvl w:val="0"/>
          <w:numId w:val="0"/>
        </w:numPr>
        <w:autoSpaceDE w:val="false"/>
        <w:ind w:left="0" w:right="0"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ind w:left="0" w:right="0" w:firstLine="142"/>
        <w:rPr>
          <w:sz w:val="24"/>
          <w:szCs w:val="24"/>
        </w:rPr>
      </w:pPr>
      <w:r>
        <w:rPr>
          <w:sz w:val="24"/>
          <w:szCs w:val="24"/>
        </w:rPr>
        <w:t>Целью Программы является сокращение доли аварийного жилья в жилищном фонде муниципального образования Ропшинское сельское поселение муниципального образования Ломоносовский муниципальный район Ленинградской области.</w:t>
      </w:r>
    </w:p>
    <w:p>
      <w:pPr>
        <w:pStyle w:val="Normal"/>
        <w:autoSpaceDE w:val="false"/>
        <w:ind w:left="0" w:right="0" w:firstLine="142"/>
        <w:rPr>
          <w:sz w:val="24"/>
          <w:szCs w:val="24"/>
        </w:rPr>
      </w:pPr>
      <w:r>
        <w:rPr>
          <w:sz w:val="24"/>
          <w:szCs w:val="24"/>
        </w:rPr>
        <w:t>Основными задачами Программы являются:</w:t>
      </w:r>
    </w:p>
    <w:p>
      <w:pPr>
        <w:pStyle w:val="Normal"/>
        <w:tabs>
          <w:tab w:val="left" w:pos="3645" w:leader="none"/>
        </w:tabs>
        <w:rPr>
          <w:sz w:val="24"/>
          <w:szCs w:val="24"/>
        </w:rPr>
      </w:pPr>
      <w:r>
        <w:rPr>
          <w:sz w:val="24"/>
          <w:szCs w:val="24"/>
        </w:rPr>
        <w:t>-консолидация финансовых ресурсов для обеспечения благоустроенным жильем граждан, проживающих в жилищном фонде, признанном непригодным для постоянного проживания;</w:t>
      </w:r>
    </w:p>
    <w:p>
      <w:pPr>
        <w:pStyle w:val="Normal"/>
        <w:autoSpaceDE w:val="false"/>
        <w:ind w:left="0" w:right="0" w:firstLine="14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   Сроки реализации Программы</w:t>
      </w:r>
    </w:p>
    <w:p>
      <w:pPr>
        <w:pStyle w:val="Normal"/>
        <w:numPr>
          <w:ilvl w:val="0"/>
          <w:numId w:val="0"/>
        </w:numPr>
        <w:autoSpaceDE w:val="false"/>
        <w:ind w:left="0" w:right="0"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ind w:left="0" w:right="0" w:firstLine="142"/>
        <w:rPr>
          <w:sz w:val="24"/>
          <w:szCs w:val="24"/>
        </w:rPr>
      </w:pPr>
      <w:r>
        <w:rPr>
          <w:sz w:val="24"/>
          <w:szCs w:val="24"/>
        </w:rPr>
        <w:t>Основные мероприятия по переселению граждан из аварийного жилищного фонда реализуются в 2015 году.</w:t>
      </w:r>
    </w:p>
    <w:p>
      <w:pPr>
        <w:pStyle w:val="Normal"/>
        <w:autoSpaceDE w:val="false"/>
        <w:ind w:left="0" w:right="0" w:firstLine="142"/>
        <w:rPr>
          <w:sz w:val="24"/>
          <w:szCs w:val="24"/>
        </w:rPr>
      </w:pPr>
      <w:r>
        <w:rPr>
          <w:sz w:val="24"/>
          <w:szCs w:val="24"/>
        </w:rPr>
        <w:t>В программу могут вноситься изменения, в том числе при недостаточности финансирования за счет средств местного бюджета МО Ропшинское сельское поселение, областного бюджета, внебюджетных и иных источников на реализацию мероприятий программы.</w:t>
      </w:r>
    </w:p>
    <w:p>
      <w:pPr>
        <w:pStyle w:val="Normal"/>
        <w:numPr>
          <w:ilvl w:val="0"/>
          <w:numId w:val="0"/>
        </w:numPr>
        <w:autoSpaceDE w:val="false"/>
        <w:ind w:left="0" w:right="0" w:firstLine="5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  Планируемые результаты реализации  Программы</w:t>
      </w:r>
    </w:p>
    <w:p>
      <w:pPr>
        <w:pStyle w:val="Normal"/>
        <w:autoSpaceDE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Планом реализации мероприятий Программы с учетом рекомендаций Фонда содействия реформированию жилищно-коммунального хозяйства (далее - Фонд) предусматривается:</w:t>
      </w:r>
    </w:p>
    <w:p>
      <w:pPr>
        <w:pStyle w:val="Normal"/>
        <w:autoSpaceDE w:val="false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долевое участие в финансировании мероприятий по переселению граждан из аварийного жилищного фонда за счет средств областного бюджета и средств бюджетов муниципального образования;</w:t>
      </w:r>
    </w:p>
    <w:p>
      <w:pPr>
        <w:pStyle w:val="Normal"/>
        <w:autoSpaceDE w:val="false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организация работы по переселению граждан из аварийного жилищного фонда;</w:t>
      </w:r>
    </w:p>
    <w:p>
      <w:pPr>
        <w:pStyle w:val="Normal"/>
        <w:autoSpaceDE w:val="false"/>
        <w:ind w:left="0" w:right="0" w:firstLine="142"/>
        <w:rPr/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Планируемые показатели выполнения муниципальной адресной программы «Переселение граждан из аварийного жилищного фонда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 в 2015 году </w:t>
      </w:r>
      <w:r>
        <w:rPr>
          <w:sz w:val="24"/>
          <w:szCs w:val="24"/>
        </w:rPr>
        <w:t>" приведены в приложении 1 к Программе.</w:t>
      </w:r>
    </w:p>
    <w:p>
      <w:pPr>
        <w:pStyle w:val="Normal"/>
        <w:autoSpaceDE w:val="fals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autoSpaceDE w:val="false"/>
        <w:ind w:left="0" w:right="0"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 Перечень и финансирование мероприятий Программы</w:t>
      </w:r>
    </w:p>
    <w:p>
      <w:pPr>
        <w:pStyle w:val="Normal"/>
        <w:autoSpaceDE w:val="false"/>
        <w:ind w:left="0" w:right="0" w:firstLine="14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ind w:left="0" w:right="0" w:firstLine="142"/>
        <w:rPr>
          <w:sz w:val="24"/>
          <w:szCs w:val="24"/>
        </w:rPr>
      </w:pPr>
      <w:r>
        <w:rPr>
          <w:sz w:val="24"/>
          <w:szCs w:val="24"/>
        </w:rPr>
        <w:t>Объем средств на проведение в рамках реализации Программы мероприятий по переселению граждан из аварийного жилого дома определен исходя из площади расселяемого жилого помещения, планируемой стоимости одного квадратного метра общей площади помещений в многоквартирном доме.</w:t>
      </w:r>
    </w:p>
    <w:p>
      <w:pPr>
        <w:pStyle w:val="ConsPlusCell"/>
        <w:widowControl/>
        <w:ind w:left="28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Общий объем финансирования Программы 2100,00 тыс.  рублей  в том числе :                                              </w:t>
        <w:br/>
        <w:t>средства  Фонда –  740,58 тыс. руб.;</w:t>
      </w:r>
    </w:p>
    <w:p>
      <w:pPr>
        <w:pStyle w:val="Normal"/>
        <w:autoSpaceDE w:val="false"/>
        <w:ind w:left="0" w:right="0" w:firstLine="142"/>
        <w:jc w:val="left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средства областного бюджета –  370,87 тыс.руб;         </w:t>
        <w:br/>
        <w:t xml:space="preserve">     средства местного бюджета – 988,55 тыс. руб.             </w:t>
      </w:r>
    </w:p>
    <w:p>
      <w:pPr>
        <w:pStyle w:val="Normal"/>
        <w:autoSpaceDE w:val="false"/>
        <w:ind w:left="0" w:right="0" w:firstLine="142"/>
        <w:rPr/>
      </w:pPr>
      <w:r>
        <w:rPr>
          <w:sz w:val="24"/>
          <w:szCs w:val="24"/>
        </w:rPr>
        <w:t xml:space="preserve">Размер предельной стоимости одного квадратного метра общей площади жилых помещений, предоставляемых гражданам в соответствии с настоящей Программой равен стоимости одного квадратного метра общей площади жилого помещения, установленный в соответствии с </w:t>
      </w:r>
      <w:hyperlink r:id="rId5">
        <w:r>
          <w:rPr>
            <w:rStyle w:val="Style16"/>
          </w:rPr>
          <w:t>приказом</w:t>
        </w:r>
      </w:hyperlink>
      <w:r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от 15 июля 2014 года № 387/пр, и составляет 40210 рублей. </w:t>
      </w:r>
    </w:p>
    <w:p>
      <w:pPr>
        <w:pStyle w:val="Normal"/>
        <w:autoSpaceDE w:val="false"/>
        <w:ind w:left="0" w:right="0" w:firstLine="142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расселению и сносу подлежат один аварийный многоквартирный дом, расселяемая площадь в которого составляет 46,3  (186,3) квадратных метра.</w:t>
      </w:r>
    </w:p>
    <w:p>
      <w:pPr>
        <w:pStyle w:val="Normal"/>
        <w:autoSpaceDE w:val="false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Способом переселения граждан из аварийного жилищного фонда является: предоставление гражданам, переселяемым в соответствии с Программой из аварийного жилищного фонда, жилого помещения по договору социального найма.</w:t>
      </w:r>
    </w:p>
    <w:p>
      <w:pPr>
        <w:pStyle w:val="Normal"/>
        <w:autoSpaceDE w:val="false"/>
        <w:ind w:left="0" w:right="0" w:firstLine="142"/>
        <w:rPr>
          <w:sz w:val="24"/>
          <w:szCs w:val="24"/>
        </w:rPr>
      </w:pPr>
      <w:r>
        <w:rPr>
          <w:sz w:val="24"/>
          <w:szCs w:val="24"/>
        </w:rPr>
        <w:t>Переселение граждан из аварийного жилищного фонда осуществляется в соответствии с жилищным законодательством. Гражданам, переселяемым из аварийного жилищного фонда, предоставляется жилая площадь,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>
      <w:pPr>
        <w:pStyle w:val="Normal"/>
        <w:autoSpaceDE w:val="false"/>
        <w:ind w:left="0" w:right="0" w:firstLine="142"/>
        <w:rPr/>
      </w:pPr>
      <w:r>
        <w:rPr>
          <w:sz w:val="24"/>
          <w:szCs w:val="24"/>
        </w:rPr>
        <w:t xml:space="preserve">Принятие решений и проведение мероприятий по переселению граждан из аварийного жилищного фонда осуществляются в соответствии со </w:t>
      </w:r>
      <w:hyperlink r:id="rId6">
        <w:r>
          <w:rPr>
            <w:rStyle w:val="Style16"/>
          </w:rPr>
          <w:t>статьями 32</w:t>
        </w:r>
      </w:hyperlink>
      <w:r>
        <w:rPr>
          <w:sz w:val="24"/>
          <w:szCs w:val="24"/>
        </w:rPr>
        <w:t xml:space="preserve"> и </w:t>
      </w:r>
      <w:hyperlink r:id="rId7">
        <w:r>
          <w:rPr>
            <w:rStyle w:val="Style16"/>
          </w:rPr>
          <w:t>86</w:t>
        </w:r>
      </w:hyperlink>
      <w:r>
        <w:rPr>
          <w:sz w:val="24"/>
          <w:szCs w:val="24"/>
        </w:rPr>
        <w:t xml:space="preserve"> Жилищного кодекса Российской Федерации, а также жилищным законодательством. Жилое помещение, предоставляемое гражданам, может находиться </w:t>
      </w:r>
      <w:r>
        <w:rPr>
          <w:color w:val="000000"/>
          <w:sz w:val="24"/>
          <w:szCs w:val="24"/>
        </w:rPr>
        <w:t>по месту их жительства в границах МО Ропшинское сельское поселение или с согласия в письменной форме этих граждан  в границах другого населенного пункта Ленинградской области.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профессионального подхода к решению вышеуказанных задач, местной администрацией МО Ропшинское  сельское  поселение будут  заключены договорные отношения со специализированными организациями.</w:t>
      </w:r>
    </w:p>
    <w:p>
      <w:pPr>
        <w:pStyle w:val="Normal"/>
        <w:rPr/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eastAsia="Calibri"/>
          <w:color w:val="000000"/>
          <w:sz w:val="24"/>
          <w:szCs w:val="24"/>
          <w:lang w:eastAsia="en-US"/>
        </w:rPr>
        <w:t>Перечень и  финансирование основных мероприятий программы с указанием сроков исполнения, объемов и источников финансирования приведен в приложении №2 к программе.</w:t>
      </w:r>
    </w:p>
    <w:p>
      <w:pPr>
        <w:pStyle w:val="Normal"/>
        <w:numPr>
          <w:ilvl w:val="0"/>
          <w:numId w:val="0"/>
        </w:numPr>
        <w:autoSpaceDE w:val="false"/>
        <w:ind w:left="0" w:right="0" w:firstLine="142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142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Оценка эффективности Программы</w:t>
      </w:r>
    </w:p>
    <w:p>
      <w:pPr>
        <w:pStyle w:val="Normal"/>
        <w:numPr>
          <w:ilvl w:val="0"/>
          <w:numId w:val="0"/>
        </w:numPr>
        <w:autoSpaceDE w:val="false"/>
        <w:ind w:left="0" w:right="0" w:firstLine="142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autoSpaceDE w:val="false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>
      <w:pPr>
        <w:pStyle w:val="Normal"/>
        <w:autoSpaceDE w:val="false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расселенная площадь жилых  помещений ( квартир);</w:t>
      </w:r>
    </w:p>
    <w:p>
      <w:pPr>
        <w:pStyle w:val="Normal"/>
        <w:autoSpaceDE w:val="false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количество расселенных помещений ( квартир) ;</w:t>
      </w:r>
    </w:p>
    <w:p>
      <w:pPr>
        <w:pStyle w:val="Normal"/>
        <w:autoSpaceDE w:val="false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количество переселенных граждан.</w:t>
      </w:r>
    </w:p>
    <w:p>
      <w:pPr>
        <w:pStyle w:val="Normal"/>
        <w:autoSpaceDE w:val="false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эффективность реализации Программы заключается в создании безопасных и благоприятных условий проживания граждан.</w:t>
      </w:r>
    </w:p>
    <w:p>
      <w:pPr>
        <w:pStyle w:val="Normal"/>
        <w:numPr>
          <w:ilvl w:val="0"/>
          <w:numId w:val="0"/>
        </w:numPr>
        <w:autoSpaceDE w:val="false"/>
        <w:ind w:left="0" w:right="0" w:firstLine="52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142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 Порядок взаимодействия участников Программы</w:t>
      </w:r>
    </w:p>
    <w:p>
      <w:pPr>
        <w:pStyle w:val="Normal"/>
        <w:ind w:left="0" w:right="0" w:firstLine="142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 предоставления субсидии бюджету муниципального образования на переселение граждан из аварийного жилищного фонда определяет условия предоставления муниципальным образованиям Ленинградской области бюджетных средств, выделенных из средств Фонда и предусмотренных в областном бюджете на переселение граждан из аварийного жилищного фонда. 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Средства, выделенные Фондом и предусмотренные в областном бюджете, предоставляются муниципальному образованию на следующих условиях: 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наличие необходимых документов, подтверждающих признание расселяемых многоквартирных домов аварийными и подлежащими сносу; 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наличие утвержденной муниципальной адресной программы переселения граждан из аварийного жилищного фонда; 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выделение средств из бюджета муниципального образования на долевое финансирование мероприятий по переселению граждан из аварийного жилищного фонда и в объемах не менее предусмотренных.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Перечисление средств Фонда и средств областного бюджета муниципальному образованию осуществляется комитетом по строительству Ленинградской области - главным распорядителем бюджетных средств при соблюдении поселением следующих условий: 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муниципального правового акта, устанавливающего расходное обязательство поселения, предусматривающего софинансирование указанных расходных обязательств;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утвержденных в бюджете поселения бюджетных ассигнований на исполнение соответствующих расходных обязательств  поселения;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заключенного между комитетом по строительству Ленинградской области и местной администрацией муниципального образования соглашения о порядке предоставления субсидий из областного бюджета Ленинградской области бюджету муниципального образования на реализацию мероприятий по переселению граждан из аварийного жилищного фонда, в котором отображено: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коды бюджетной классификации расходов областного бюджета Ленинградской области, в том числе средства Фонда, коды бюджетной классификации доходов бюджета поселения, коды бюджетной классификации расходов бюджета поселения;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средств Фонда, областного бюджета Ленинградской области и объем расходов за счет собственных средств бюджета поселения;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целевого показателя  результативности использования средств Фонда областного бюджета;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обязательство поселения по обеспечению соответствия значений показателей, устанавливаемых муниципальными правовыми актами органов местного самоуправления поселения («дорожными картами»), значениям показателей результативности использования средств Фонда и областного бюджета, установленным соглашением;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обязательство поселения по организации учета результатов исполнения расходных обязательств, установленное муниципальными правовыми актами;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обязательство поселения по ежеквартальному размещению отчетной информации о достижении значения показателей результативности  использования средств Фонда и областного бюджета на официальном сайте поселения;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обязательство поселения о представлении в Комитет по строительству Ленинградской области отчетов о расходах местного бюджета, источником финансового обеспечения которых являются средства Фонда и областного бюджета, и о достижении значений целевого показателя эффективности использования данных средств;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и порядок представления отчетности об осуществлении расходов бюджета поселения, источником финансового обеспечения которых являются средства Фонда и областного бюджета;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сторон за нарушение условий соглашения;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контроля за соблюдением поселением условий предоставления средств Фонда и областного бюджета.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Средства, полученные муниципальным образованием за счет финансовой поддержки Фонда и из областного бюджета, направляются на приобретение жилых помещений у застройщиков.</w:t>
      </w:r>
    </w:p>
    <w:p>
      <w:pPr>
        <w:pStyle w:val="Normal"/>
        <w:ind w:left="0" w:right="0" w:firstLine="142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Муниципальное образование по требованию главного распорядителя бюджетных средств и органов финансового контроля представляет необходимую документацию по финансированию реализации мероприятий Программы, а также несет ответственность за нецелевое и неэффективное использование выделенных бюджетных средств и несвоевременное представление отчетности. 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 образование подлежит исключению из региональной адресной Программы, а средства Фонда и средства областного бюджета, направленные в муниципальное образование для реализации мероприятий Программы, подлежат возврату в областной бюджет в полном объеме, в случае не устранения в течение 6 месяцев с момента возникновения следующих нарушений: 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выявления нецелевого использования бюджетных средств;</w:t>
      </w:r>
    </w:p>
    <w:p>
      <w:pPr>
        <w:pStyle w:val="Normal"/>
        <w:ind w:left="0" w:right="0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выявления нарушения долевого финансирования на реализацию Программы за счет средств местного бюджета;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left="0" w:right="0" w:firstLine="142"/>
        <w:rPr/>
      </w:pPr>
      <w:r>
        <w:rPr>
          <w:color w:val="000000"/>
          <w:sz w:val="24"/>
          <w:szCs w:val="24"/>
        </w:rPr>
        <w:t>не реализация этапа программы (заявки) в срок до 31 декабря года, следующего за годом принятия Фондом решения о предоставлении финансовой поддержки Ленинградской области на данный этап</w:t>
      </w:r>
      <w:r>
        <w:rPr>
          <w:sz w:val="24"/>
          <w:szCs w:val="24"/>
        </w:rPr>
        <w:t xml:space="preserve"> (заявку).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  <w:t xml:space="preserve">Приложение 1 к Программе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color w:val="000000"/>
        </w:rPr>
        <w:t>1.</w:t>
      </w:r>
      <w:r>
        <w:rPr>
          <w:b/>
        </w:rPr>
        <w:t xml:space="preserve"> Планируемые результаты муниципальной адресной  программы </w:t>
      </w:r>
    </w:p>
    <w:p>
      <w:pPr>
        <w:pStyle w:val="Normal"/>
        <w:rPr/>
      </w:pPr>
      <w:r>
        <w:rPr/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>"Переселение граждан из аварийного жилищного фонда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 в 2015 году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496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0"/>
        <w:gridCol w:w="1788"/>
        <w:gridCol w:w="1653"/>
        <w:gridCol w:w="983"/>
        <w:gridCol w:w="1725"/>
        <w:gridCol w:w="1096"/>
        <w:gridCol w:w="1598"/>
        <w:gridCol w:w="1261"/>
        <w:gridCol w:w="1080"/>
        <w:gridCol w:w="1080"/>
        <w:gridCol w:w="1080"/>
        <w:gridCol w:w="1138"/>
      </w:tblGrid>
      <w:tr>
        <w:trPr>
          <w:cantSplit w:val="true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Задачи, направленные на достижение цели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Планируемый объем  финансирования на решение данной задачи (тыс. руб.)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Единица измерения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Базовое значение показателя (на начало реализации  программы (подпрограммы)</w:t>
            </w:r>
          </w:p>
        </w:tc>
        <w:tc>
          <w:tcPr>
            <w:tcW w:w="5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Планируемое значение показателя по годам реализации</w:t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Бюджет Ропшинского сельского поселения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Другие источники</w:t>
            </w:r>
          </w:p>
        </w:tc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Очередной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Третий год планового периода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Четвертый год планового периода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true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48" w:right="0" w:hanging="0"/>
              <w:rPr/>
            </w:pPr>
            <w:r>
              <w:rPr/>
              <w:t>Задача 1: приобретение жилого помещения (квартиры)</w:t>
            </w:r>
            <w:r>
              <w:rPr>
                <w:color w:val="FF0000"/>
              </w:rPr>
              <w:t xml:space="preserve"> </w:t>
            </w:r>
            <w:r>
              <w:rPr/>
              <w:t>для переселения граждан из аварийного жилищного фонда на вторичном рынке жилья</w:t>
            </w:r>
          </w:p>
          <w:p>
            <w:pPr>
              <w:pStyle w:val="Normal"/>
              <w:autoSpaceDE w:val="false"/>
              <w:ind w:left="-48" w:right="0" w:firstLine="520"/>
              <w:rPr/>
            </w:pPr>
            <w:r>
              <w:rPr/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988,55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1111,45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Переселение   из аварийного дома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Чел./семей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 xml:space="preserve">      </w:t>
            </w:r>
            <w:r>
              <w:rPr/>
              <w:t>3/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885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Приобретение жилого помещения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Шт.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40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Расселяемая площадь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Кв.м.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1134" w:right="1134" w:header="709" w:top="851" w:footer="709" w:bottom="1701" w:gutter="0"/>
          <w:pgNumType w:fmt="decimal"/>
          <w:formProt w:val="false"/>
          <w:textDirection w:val="lrTb"/>
          <w:docGrid w:type="default" w:linePitch="360" w:charSpace="4294963199"/>
        </w:sectPr>
      </w:pP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 к Программе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>
          <w:b/>
          <w:color w:val="000000"/>
        </w:rPr>
        <w:t>2.</w:t>
      </w:r>
      <w:r>
        <w:rPr>
          <w:b/>
        </w:rPr>
        <w:t xml:space="preserve"> Перечень и финансирование  мероприятий  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u w:val="single"/>
        </w:rPr>
      </w:pPr>
      <w:r>
        <w:rPr>
          <w:b/>
          <w:u w:val="single"/>
        </w:rPr>
        <w:t xml:space="preserve">Муниципальной адресной программы "Переселение граждан из аварийного жилищного фонда на территории </w:t>
      </w:r>
    </w:p>
    <w:p>
      <w:pPr>
        <w:pStyle w:val="Normal"/>
        <w:pBdr>
          <w:bottom w:val="single" w:sz="12" w:space="1" w:color="000000"/>
        </w:pBdr>
        <w:ind w:left="0" w:right="0" w:hanging="0"/>
        <w:rPr>
          <w:b/>
          <w:b/>
          <w:u w:val="single"/>
        </w:rPr>
      </w:pPr>
      <w:r>
        <w:rPr>
          <w:b/>
          <w:u w:val="single"/>
        </w:rPr>
        <w:t>МО  Ропшинское сельское поселение муниципального образования Ломоносовского муниципального района    Ленинградской области в 2015 году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404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5"/>
        <w:gridCol w:w="1825"/>
        <w:gridCol w:w="2002"/>
        <w:gridCol w:w="750"/>
        <w:gridCol w:w="1356"/>
        <w:gridCol w:w="995"/>
        <w:gridCol w:w="1068"/>
        <w:gridCol w:w="1000"/>
        <w:gridCol w:w="767"/>
        <w:gridCol w:w="851"/>
        <w:gridCol w:w="709"/>
        <w:gridCol w:w="2136"/>
      </w:tblGrid>
      <w:tr>
        <w:trPr>
          <w:cantSplit w:val="true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>
        <w:trPr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Четвертый год планового периода</w:t>
            </w:r>
          </w:p>
        </w:tc>
        <w:tc>
          <w:tcPr>
            <w:tcW w:w="2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>
        <w:trPr>
          <w:trHeight w:val="549" w:hRule="atLeast"/>
          <w:cantSplit w:val="true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0" w:right="-13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1:</w:t>
            </w:r>
          </w:p>
          <w:p>
            <w:pPr>
              <w:pStyle w:val="Normal"/>
              <w:autoSpaceDE w:val="false"/>
              <w:ind w:left="0" w:right="-130" w:hanging="0"/>
              <w:rPr/>
            </w:pPr>
            <w:r>
              <w:rPr/>
              <w:t>Обеспеченияе благоустроенным жильем граждан, проживающих в жилищном фонде, признанном непригодным для постоянного проживания;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местной администрации</w:t>
            </w:r>
          </w:p>
        </w:tc>
      </w:tr>
      <w:tr>
        <w:trPr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740,58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740,58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370,87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370,87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370,87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Ломоносовского муниципального района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Средства  бюджета Ропшинского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988,55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988,55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sz w:val="16"/>
                <w:szCs w:val="16"/>
              </w:rPr>
              <w:t xml:space="preserve">Мероприятие 1: </w:t>
            </w:r>
            <w:r>
              <w:rPr/>
              <w:t xml:space="preserve">приобретение жилого </w:t>
            </w:r>
            <w:r>
              <w:rPr>
                <w:color w:val="000000"/>
              </w:rPr>
              <w:t xml:space="preserve">помещения </w:t>
            </w:r>
            <w:r>
              <w:rPr/>
              <w:t xml:space="preserve">на вторичном рынке жилья для переселения граждан из аварийного жилищного фонда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748,58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740,58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370,87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370,87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370,87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Ломоносовского муниципального района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  бюджета Ропшинского сельского поселения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988,55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988,55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1"/>
        <w:numPr>
          <w:ilvl w:val="0"/>
          <w:numId w:val="1"/>
        </w:numPr>
        <w:tabs>
          <w:tab w:val="left" w:pos="708" w:leader="none"/>
        </w:tabs>
        <w:ind w:hanging="0"/>
        <w:jc w:val="center"/>
        <w:rPr>
          <w:color w:val="000000"/>
        </w:rPr>
      </w:pPr>
      <w:r>
        <w:rPr>
          <w:rFonts w:eastAsia="Calibri"/>
          <w:i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10"/>
      <w:footerReference w:type="default" r:id="rId11"/>
      <w:type w:val="nextPage"/>
      <w:pgSz w:orient="landscape" w:w="16838" w:h="11906"/>
      <w:pgMar w:left="1134" w:right="1134" w:header="709" w:top="1134" w:footer="709" w:bottom="851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</w:r>
  </w:p>
  <w:p>
    <w:pPr>
      <w:pStyle w:val="Style39"/>
      <w:jc w:val="right"/>
      <w:rPr/>
    </w:pPr>
    <w:r>
      <w:rPr/>
    </w:r>
  </w:p>
  <w:p>
    <w:pPr>
      <w:pStyle w:val="Style39"/>
      <w:tabs>
        <w:tab w:val="center" w:pos="4677" w:leader="none"/>
        <w:tab w:val="right" w:pos="9072" w:leader="none"/>
      </w:tabs>
      <w:rPr>
        <w:color w:val="000080"/>
      </w:rPr>
    </w:pPr>
    <w:r>
      <w:rPr>
        <w:color w:val="00008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</w:r>
  </w:p>
  <w:p>
    <w:pPr>
      <w:pStyle w:val="Style39"/>
      <w:jc w:val="right"/>
      <w:rPr/>
    </w:pPr>
    <w:r>
      <w:rPr/>
    </w:r>
  </w:p>
  <w:p>
    <w:pPr>
      <w:pStyle w:val="Style39"/>
      <w:tabs>
        <w:tab w:val="center" w:pos="4677" w:leader="none"/>
        <w:tab w:val="right" w:pos="9072" w:leader="none"/>
      </w:tabs>
      <w:rPr>
        <w:color w:val="000080"/>
      </w:rPr>
    </w:pPr>
    <w:r>
      <w:rPr>
        <w:color w:val="00008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12700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85420"/>
              <wp:effectExtent l="0" t="0" r="0" b="0"/>
              <wp:wrapSquare wrapText="largest"/>
              <wp:docPr id="2" name="Врезка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4.6pt;margin-top:0.05pt;mso-position-vertical-relative:text;margin-left:363.7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7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12700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85420"/>
              <wp:effectExtent l="0" t="0" r="0" b="0"/>
              <wp:wrapSquare wrapText="largest"/>
              <wp:docPr id="4" name="Врезка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4.6pt;margin-top:0.05pt;mso-position-vertical-relative:text;margin-left:363.7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7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S1">
    <w:name w:val="s1"/>
    <w:qFormat/>
    <w:rPr/>
  </w:style>
  <w:style w:type="character" w:styleId="Style20">
    <w:name w:val="Выделение"/>
    <w:rPr>
      <w:i/>
      <w:iCs/>
    </w:rPr>
  </w:style>
  <w:style w:type="character" w:styleId="S4">
    <w:name w:val="s4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40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paragraph" w:styleId="P15">
    <w:name w:val="p15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P17">
    <w:name w:val="p17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23">
    <w:name w:val="Основной текст2"/>
    <w:basedOn w:val="Normal"/>
    <w:qFormat/>
    <w:pPr>
      <w:shd w:fill="FFFFFF" w:val="clear"/>
      <w:snapToGrid w:val="true"/>
      <w:spacing w:lineRule="exact" w:line="274" w:before="540" w:after="0"/>
      <w:ind w:left="0" w:right="0" w:hanging="700"/>
      <w:jc w:val="left"/>
    </w:pPr>
    <w:rPr>
      <w:rFonts w:ascii="Calibri" w:hAnsi="Calibri" w:eastAsia="Calibri" w:cs="Calibri"/>
      <w:shd w:fill="FFFFFF" w:val="clear"/>
      <w:lang w:val="ru-RU"/>
    </w:rPr>
  </w:style>
  <w:style w:type="paragraph" w:styleId="ConsPlusCell">
    <w:name w:val="ConsPlusCell"/>
    <w:qFormat/>
    <w:pPr>
      <w:widowControl w:val="false"/>
      <w:suppressAutoHyphens w:val="true"/>
      <w:autoSpaceDE w:val="false"/>
      <w:spacing w:lineRule="auto" w:line="276" w:before="0" w:after="20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21B91005EC4F9CA452EAF60A2E74AFF039A1BE7EE7C8E36D0C665E3F6CD3E6F5A560C2EAE47468DDFi9F" TargetMode="External"/><Relationship Id="rId4" Type="http://schemas.openxmlformats.org/officeDocument/2006/relationships/hyperlink" Target="consultantplus://offline/ref=504F03A8FA9479CF8B3CA301D9ABA3EA16039778D8D67651B8335AC3778DDA549E81D645D20F5D17j3AEL" TargetMode="External"/><Relationship Id="rId5" Type="http://schemas.openxmlformats.org/officeDocument/2006/relationships/hyperlink" Target="consultantplus://offline/main?base=LAW;n=111707;fld=134;dst=100011" TargetMode="External"/><Relationship Id="rId6" Type="http://schemas.openxmlformats.org/officeDocument/2006/relationships/hyperlink" Target="consultantplus://offline/main?base=LAW;n=117057;fld=134;dst=100247" TargetMode="External"/><Relationship Id="rId7" Type="http://schemas.openxmlformats.org/officeDocument/2006/relationships/hyperlink" Target="consultantplus://offline/main?base=LAW;n=117057;fld=134;dst=100551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LibreOffice/5.0.4.2$Windows_x86 LibreOffice_project/2b9802c1994aa0b7dc6079e128979269cf95bc78</Application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2016-01-12T16:27:31Z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